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CC" w:rsidRPr="005D3CD5" w:rsidRDefault="00B504CC" w:rsidP="005D3CD5">
      <w:pPr>
        <w:jc w:val="center"/>
        <w:rPr>
          <w:lang w:val="fr-FR"/>
        </w:rPr>
      </w:pPr>
      <w:bookmarkStart w:id="0" w:name="_GoBack"/>
      <w:bookmarkEnd w:id="0"/>
    </w:p>
    <w:p w:rsidR="002A7455" w:rsidRPr="005D3CD5" w:rsidRDefault="002A7455" w:rsidP="005D3CD5">
      <w:pPr>
        <w:jc w:val="center"/>
        <w:rPr>
          <w:lang w:val="fr-FR"/>
        </w:rPr>
      </w:pPr>
    </w:p>
    <w:p w:rsidR="002A7455" w:rsidRPr="005D3CD5" w:rsidRDefault="002A7455" w:rsidP="005D3CD5">
      <w:pPr>
        <w:jc w:val="center"/>
        <w:rPr>
          <w:lang w:val="fr-FR"/>
        </w:rPr>
      </w:pPr>
    </w:p>
    <w:p w:rsidR="00E77CB3" w:rsidRPr="005D3CD5" w:rsidRDefault="00411061" w:rsidP="005D3CD5">
      <w:pPr>
        <w:jc w:val="center"/>
        <w:rPr>
          <w:lang w:val="fr-FR"/>
        </w:rPr>
      </w:pPr>
      <w:r w:rsidRPr="005D3CD5">
        <w:rPr>
          <w:lang w:val="fr-FR"/>
        </w:rPr>
        <w:t>PREMIÈRE SECTION</w:t>
      </w:r>
    </w:p>
    <w:p w:rsidR="00E77CB3" w:rsidRPr="005D3CD5" w:rsidRDefault="00E77CB3" w:rsidP="005D3CD5">
      <w:pPr>
        <w:jc w:val="center"/>
        <w:rPr>
          <w:lang w:val="fr-FR"/>
        </w:rPr>
      </w:pPr>
    </w:p>
    <w:p w:rsidR="00B504CC" w:rsidRPr="005D3CD5" w:rsidRDefault="00B504CC" w:rsidP="005D3CD5">
      <w:pPr>
        <w:jc w:val="center"/>
        <w:rPr>
          <w:lang w:val="fr-FR"/>
        </w:rPr>
      </w:pPr>
    </w:p>
    <w:p w:rsidR="00B504CC" w:rsidRPr="005D3CD5" w:rsidRDefault="00B504CC" w:rsidP="005D3CD5">
      <w:pPr>
        <w:jc w:val="center"/>
        <w:rPr>
          <w:lang w:val="fr-FR"/>
        </w:rPr>
      </w:pPr>
    </w:p>
    <w:p w:rsidR="00B504CC" w:rsidRPr="005D3CD5" w:rsidRDefault="00B504CC" w:rsidP="005D3CD5">
      <w:pPr>
        <w:jc w:val="center"/>
        <w:rPr>
          <w:lang w:val="fr-FR"/>
        </w:rPr>
      </w:pPr>
    </w:p>
    <w:p w:rsidR="00B504CC" w:rsidRPr="005D3CD5" w:rsidRDefault="00B504CC" w:rsidP="005D3CD5">
      <w:pPr>
        <w:jc w:val="center"/>
        <w:rPr>
          <w:lang w:val="fr-FR"/>
        </w:rPr>
      </w:pPr>
    </w:p>
    <w:p w:rsidR="00B504CC" w:rsidRPr="005D3CD5" w:rsidRDefault="00B504CC" w:rsidP="005D3CD5">
      <w:pPr>
        <w:jc w:val="center"/>
        <w:rPr>
          <w:lang w:val="fr-FR"/>
        </w:rPr>
      </w:pPr>
    </w:p>
    <w:p w:rsidR="002A7455" w:rsidRPr="005D3CD5" w:rsidRDefault="002A7455" w:rsidP="005D3CD5">
      <w:pPr>
        <w:jc w:val="center"/>
        <w:rPr>
          <w:lang w:val="fr-FR"/>
        </w:rPr>
      </w:pPr>
    </w:p>
    <w:p w:rsidR="00E77CB3" w:rsidRPr="005D3CD5" w:rsidRDefault="00E77CB3" w:rsidP="005D3CD5">
      <w:pPr>
        <w:jc w:val="center"/>
        <w:rPr>
          <w:b/>
          <w:lang w:val="fr-FR"/>
        </w:rPr>
      </w:pPr>
      <w:bookmarkStart w:id="1" w:name="To"/>
      <w:r w:rsidRPr="005D3CD5">
        <w:rPr>
          <w:b/>
          <w:lang w:val="fr-FR"/>
        </w:rPr>
        <w:t xml:space="preserve">AFFAIRE </w:t>
      </w:r>
      <w:bookmarkEnd w:id="1"/>
      <w:r w:rsidR="00411061" w:rsidRPr="005D3CD5">
        <w:rPr>
          <w:b/>
          <w:lang w:val="fr-FR"/>
        </w:rPr>
        <w:t xml:space="preserve">RICHMOND YAW </w:t>
      </w:r>
      <w:r w:rsidR="009F210B" w:rsidRPr="005D3CD5">
        <w:rPr>
          <w:b/>
          <w:lang w:val="fr-FR"/>
        </w:rPr>
        <w:t>ET AUTRES</w:t>
      </w:r>
      <w:r w:rsidR="00951ABC" w:rsidRPr="005D3CD5">
        <w:rPr>
          <w:b/>
          <w:lang w:val="fr-FR"/>
        </w:rPr>
        <w:t xml:space="preserve"> </w:t>
      </w:r>
      <w:r w:rsidR="00411061" w:rsidRPr="005D3CD5">
        <w:rPr>
          <w:b/>
          <w:lang w:val="fr-FR"/>
        </w:rPr>
        <w:t>c. ITALIE</w:t>
      </w:r>
    </w:p>
    <w:p w:rsidR="00E77CB3" w:rsidRPr="005D3CD5" w:rsidRDefault="00E77CB3" w:rsidP="005D3CD5">
      <w:pPr>
        <w:jc w:val="center"/>
        <w:rPr>
          <w:lang w:val="fr-FR"/>
        </w:rPr>
      </w:pPr>
    </w:p>
    <w:p w:rsidR="00E77CB3" w:rsidRPr="005D3CD5" w:rsidRDefault="00E77CB3" w:rsidP="005D3CD5">
      <w:pPr>
        <w:jc w:val="center"/>
        <w:rPr>
          <w:szCs w:val="24"/>
          <w:u w:val="single"/>
          <w:lang w:val="fr-FR"/>
        </w:rPr>
      </w:pPr>
      <w:r w:rsidRPr="005D3CD5">
        <w:rPr>
          <w:i/>
          <w:lang w:val="fr-FR"/>
        </w:rPr>
        <w:t>(</w:t>
      </w:r>
      <w:r w:rsidR="00411061" w:rsidRPr="005D3CD5">
        <w:rPr>
          <w:i/>
          <w:lang w:val="fr-FR"/>
        </w:rPr>
        <w:t>Requêtes n</w:t>
      </w:r>
      <w:r w:rsidR="00411061" w:rsidRPr="005D3CD5">
        <w:rPr>
          <w:i/>
          <w:vertAlign w:val="superscript"/>
          <w:lang w:val="fr-FR"/>
        </w:rPr>
        <w:t>os</w:t>
      </w:r>
      <w:r w:rsidR="00411061" w:rsidRPr="005D3CD5">
        <w:rPr>
          <w:i/>
          <w:lang w:val="fr-FR"/>
        </w:rPr>
        <w:t xml:space="preserve"> 3342/11</w:t>
      </w:r>
      <w:r w:rsidR="00E7350A" w:rsidRPr="005D3CD5">
        <w:rPr>
          <w:i/>
          <w:lang w:val="fr-FR"/>
        </w:rPr>
        <w:t xml:space="preserve">, </w:t>
      </w:r>
      <w:r w:rsidR="00951ABC" w:rsidRPr="005D3CD5">
        <w:rPr>
          <w:i/>
          <w:lang w:val="fr-FR"/>
        </w:rPr>
        <w:t>3391/11</w:t>
      </w:r>
      <w:r w:rsidR="00E7350A" w:rsidRPr="005D3CD5">
        <w:rPr>
          <w:i/>
          <w:lang w:val="fr-FR"/>
        </w:rPr>
        <w:t>, 34</w:t>
      </w:r>
      <w:r w:rsidR="004E3538" w:rsidRPr="005D3CD5">
        <w:rPr>
          <w:i/>
          <w:lang w:val="fr-FR"/>
        </w:rPr>
        <w:t>08</w:t>
      </w:r>
      <w:r w:rsidR="00E7350A" w:rsidRPr="005D3CD5">
        <w:rPr>
          <w:i/>
          <w:lang w:val="fr-FR"/>
        </w:rPr>
        <w:t>/11</w:t>
      </w:r>
      <w:r w:rsidR="00411061" w:rsidRPr="005D3CD5">
        <w:rPr>
          <w:i/>
          <w:lang w:val="fr-FR"/>
        </w:rPr>
        <w:t xml:space="preserve"> et </w:t>
      </w:r>
      <w:r w:rsidR="00E7350A" w:rsidRPr="005D3CD5">
        <w:rPr>
          <w:i/>
          <w:lang w:val="fr-FR"/>
        </w:rPr>
        <w:t>34</w:t>
      </w:r>
      <w:r w:rsidR="004E3538" w:rsidRPr="005D3CD5">
        <w:rPr>
          <w:i/>
          <w:lang w:val="fr-FR"/>
        </w:rPr>
        <w:t>47</w:t>
      </w:r>
      <w:r w:rsidR="00E7350A" w:rsidRPr="005D3CD5">
        <w:rPr>
          <w:i/>
          <w:lang w:val="fr-FR"/>
        </w:rPr>
        <w:t>/11</w:t>
      </w:r>
      <w:r w:rsidRPr="005D3CD5">
        <w:rPr>
          <w:i/>
          <w:lang w:val="fr-FR"/>
        </w:rPr>
        <w:t>)</w:t>
      </w:r>
    </w:p>
    <w:p w:rsidR="00B504CC" w:rsidRPr="005D3CD5" w:rsidRDefault="00B504CC" w:rsidP="005D3CD5">
      <w:pPr>
        <w:jc w:val="center"/>
        <w:rPr>
          <w:szCs w:val="24"/>
          <w:lang w:val="fr-FR"/>
        </w:rPr>
      </w:pPr>
    </w:p>
    <w:p w:rsidR="00B504CC" w:rsidRPr="005D3CD5" w:rsidRDefault="00B504CC" w:rsidP="005D3CD5">
      <w:pPr>
        <w:jc w:val="center"/>
        <w:rPr>
          <w:szCs w:val="24"/>
          <w:lang w:val="fr-FR"/>
        </w:rPr>
      </w:pPr>
    </w:p>
    <w:p w:rsidR="00B504CC" w:rsidRPr="005D3CD5" w:rsidRDefault="00B504CC" w:rsidP="005D3CD5">
      <w:pPr>
        <w:jc w:val="center"/>
        <w:rPr>
          <w:szCs w:val="24"/>
          <w:lang w:val="fr-FR"/>
        </w:rPr>
      </w:pPr>
    </w:p>
    <w:p w:rsidR="00B504CC" w:rsidRPr="005D3CD5" w:rsidRDefault="00B504CC" w:rsidP="005D3CD5">
      <w:pPr>
        <w:jc w:val="center"/>
        <w:rPr>
          <w:szCs w:val="24"/>
          <w:lang w:val="fr-FR"/>
        </w:rPr>
      </w:pPr>
    </w:p>
    <w:p w:rsidR="00B504CC" w:rsidRPr="005D3CD5" w:rsidRDefault="00B504CC" w:rsidP="005D3CD5">
      <w:pPr>
        <w:jc w:val="center"/>
        <w:rPr>
          <w:lang w:val="fr-FR"/>
        </w:rPr>
      </w:pPr>
    </w:p>
    <w:p w:rsidR="00B504CC" w:rsidRPr="005D3CD5" w:rsidRDefault="00B504CC" w:rsidP="005D3CD5">
      <w:pPr>
        <w:jc w:val="center"/>
        <w:rPr>
          <w:lang w:val="fr-FR"/>
        </w:rPr>
      </w:pPr>
    </w:p>
    <w:p w:rsidR="00B504CC" w:rsidRPr="005D3CD5" w:rsidRDefault="00B504CC" w:rsidP="005D3CD5">
      <w:pPr>
        <w:jc w:val="center"/>
        <w:rPr>
          <w:lang w:val="fr-FR"/>
        </w:rPr>
      </w:pPr>
    </w:p>
    <w:p w:rsidR="00B504CC" w:rsidRPr="005D3CD5" w:rsidRDefault="00B504CC" w:rsidP="005D3CD5">
      <w:pPr>
        <w:jc w:val="center"/>
        <w:rPr>
          <w:lang w:val="fr-FR"/>
        </w:rPr>
      </w:pPr>
    </w:p>
    <w:p w:rsidR="00B504CC" w:rsidRPr="005D3CD5" w:rsidRDefault="00B504CC" w:rsidP="005D3CD5">
      <w:pPr>
        <w:jc w:val="center"/>
        <w:rPr>
          <w:lang w:val="fr-FR"/>
        </w:rPr>
      </w:pPr>
    </w:p>
    <w:p w:rsidR="00B504CC" w:rsidRPr="005D3CD5" w:rsidRDefault="00B504CC" w:rsidP="005D3CD5">
      <w:pPr>
        <w:jc w:val="center"/>
        <w:rPr>
          <w:lang w:val="fr-FR"/>
        </w:rPr>
      </w:pPr>
      <w:r w:rsidRPr="005D3CD5">
        <w:rPr>
          <w:lang w:val="fr-FR"/>
        </w:rPr>
        <w:t>ARRÊT</w:t>
      </w:r>
    </w:p>
    <w:p w:rsidR="00B504CC" w:rsidRPr="005D3CD5" w:rsidRDefault="00B504CC" w:rsidP="005D3CD5">
      <w:pPr>
        <w:jc w:val="center"/>
        <w:rPr>
          <w:lang w:val="fr-FR"/>
        </w:rPr>
      </w:pPr>
    </w:p>
    <w:p w:rsidR="00B504CC" w:rsidRPr="005D3CD5" w:rsidRDefault="00B504CC" w:rsidP="005D3CD5">
      <w:pPr>
        <w:jc w:val="center"/>
        <w:rPr>
          <w:lang w:val="fr-FR"/>
        </w:rPr>
      </w:pPr>
    </w:p>
    <w:p w:rsidR="00B504CC" w:rsidRPr="005D3CD5" w:rsidRDefault="00B504CC" w:rsidP="005D3CD5">
      <w:pPr>
        <w:jc w:val="center"/>
        <w:rPr>
          <w:lang w:val="fr-FR"/>
        </w:rPr>
      </w:pPr>
    </w:p>
    <w:p w:rsidR="00B504CC" w:rsidRPr="005D3CD5" w:rsidRDefault="00B504CC" w:rsidP="005D3CD5">
      <w:pPr>
        <w:jc w:val="center"/>
        <w:rPr>
          <w:lang w:val="fr-FR"/>
        </w:rPr>
      </w:pPr>
    </w:p>
    <w:p w:rsidR="00B504CC" w:rsidRPr="005D3CD5" w:rsidRDefault="00B504CC" w:rsidP="005D3CD5">
      <w:pPr>
        <w:jc w:val="center"/>
        <w:rPr>
          <w:lang w:val="fr-FR"/>
        </w:rPr>
      </w:pPr>
      <w:r w:rsidRPr="005D3CD5">
        <w:rPr>
          <w:lang w:val="fr-FR"/>
        </w:rPr>
        <w:t>STRASBOURG</w:t>
      </w:r>
    </w:p>
    <w:p w:rsidR="00B504CC" w:rsidRPr="005D3CD5" w:rsidRDefault="00B504CC" w:rsidP="005D3CD5">
      <w:pPr>
        <w:jc w:val="center"/>
        <w:rPr>
          <w:lang w:val="fr-FR"/>
        </w:rPr>
      </w:pPr>
    </w:p>
    <w:p w:rsidR="00B504CC" w:rsidRPr="005D3CD5" w:rsidRDefault="00B504CC" w:rsidP="005D3CD5">
      <w:pPr>
        <w:jc w:val="center"/>
        <w:rPr>
          <w:lang w:val="fr-FR"/>
        </w:rPr>
      </w:pPr>
      <w:r w:rsidRPr="005D3CD5">
        <w:rPr>
          <w:lang w:val="fr-FR"/>
        </w:rPr>
        <w:t>6 octobre 2016</w:t>
      </w:r>
    </w:p>
    <w:p w:rsidR="00B504CC" w:rsidRPr="005D3CD5" w:rsidRDefault="00B504CC" w:rsidP="005D3CD5">
      <w:pPr>
        <w:jc w:val="center"/>
        <w:rPr>
          <w:lang w:val="fr-FR"/>
        </w:rPr>
      </w:pPr>
    </w:p>
    <w:p w:rsidR="00B504CC" w:rsidRPr="005D3CD5" w:rsidRDefault="00B504CC" w:rsidP="005D3CD5">
      <w:pPr>
        <w:jc w:val="center"/>
        <w:rPr>
          <w:lang w:val="fr-FR"/>
        </w:rPr>
      </w:pPr>
    </w:p>
    <w:p w:rsidR="00B504CC" w:rsidRPr="005D3CD5" w:rsidRDefault="00B504CC" w:rsidP="005D3CD5">
      <w:pPr>
        <w:jc w:val="left"/>
        <w:rPr>
          <w:i/>
          <w:lang w:val="fr-FR"/>
        </w:rPr>
      </w:pPr>
      <w:r w:rsidRPr="005D3CD5">
        <w:rPr>
          <w:i/>
          <w:lang w:val="fr-FR"/>
        </w:rPr>
        <w:t>Cet arrêt deviendra définitif dans les conditions définies à l</w:t>
      </w:r>
      <w:r w:rsidR="005D3CD5" w:rsidRPr="005D3CD5">
        <w:rPr>
          <w:i/>
          <w:lang w:val="fr-FR"/>
        </w:rPr>
        <w:t>’</w:t>
      </w:r>
      <w:r w:rsidRPr="005D3CD5">
        <w:rPr>
          <w:i/>
          <w:lang w:val="fr-FR"/>
        </w:rPr>
        <w:t>article 44 § 2 de la Convention. Il peut subir des retouches de forme.</w:t>
      </w:r>
    </w:p>
    <w:p w:rsidR="00B504CC" w:rsidRPr="005D3CD5" w:rsidRDefault="00B504CC" w:rsidP="005D3CD5">
      <w:pPr>
        <w:pStyle w:val="ECHRPara"/>
        <w:ind w:firstLine="0"/>
        <w:rPr>
          <w:i/>
          <w:sz w:val="22"/>
          <w:lang w:val="fr-FR"/>
        </w:rPr>
        <w:sectPr w:rsidR="00B504CC" w:rsidRPr="005D3CD5" w:rsidSect="00B504CC">
          <w:headerReference w:type="even" r:id="rId11"/>
          <w:headerReference w:type="default" r:id="rId12"/>
          <w:footerReference w:type="default" r:id="rId13"/>
          <w:footnotePr>
            <w:numRestart w:val="eachSect"/>
          </w:footnotePr>
          <w:pgSz w:w="11906" w:h="16838" w:code="9"/>
          <w:pgMar w:top="2274" w:right="2274" w:bottom="2274" w:left="2274" w:header="1701" w:footer="720" w:gutter="0"/>
          <w:pgNumType w:start="1"/>
          <w:cols w:space="720"/>
          <w:docGrid w:linePitch="326"/>
        </w:sectPr>
      </w:pPr>
    </w:p>
    <w:p w:rsidR="00B504CC" w:rsidRPr="005D3CD5" w:rsidRDefault="00B504CC" w:rsidP="005D3CD5">
      <w:pPr>
        <w:pStyle w:val="JuCase"/>
        <w:rPr>
          <w:lang w:val="fr-FR"/>
        </w:rPr>
      </w:pPr>
      <w:r w:rsidRPr="005D3CD5">
        <w:rPr>
          <w:lang w:val="fr-FR"/>
        </w:rPr>
        <w:lastRenderedPageBreak/>
        <w:t>En l</w:t>
      </w:r>
      <w:r w:rsidR="005D3CD5" w:rsidRPr="005D3CD5">
        <w:rPr>
          <w:lang w:val="fr-FR"/>
        </w:rPr>
        <w:t>’</w:t>
      </w:r>
      <w:r w:rsidRPr="005D3CD5">
        <w:rPr>
          <w:lang w:val="fr-FR"/>
        </w:rPr>
        <w:t>affaire Richmond Yaw et autres c. Italie,</w:t>
      </w:r>
    </w:p>
    <w:p w:rsidR="00E77CB3" w:rsidRPr="005D3CD5" w:rsidRDefault="00E77CB3" w:rsidP="005D3CD5">
      <w:pPr>
        <w:pStyle w:val="ECHRPara"/>
        <w:rPr>
          <w:lang w:val="fr-FR"/>
        </w:rPr>
      </w:pPr>
      <w:r w:rsidRPr="005D3CD5">
        <w:rPr>
          <w:lang w:val="fr-FR"/>
        </w:rPr>
        <w:t>La Cour européenne des droits de l</w:t>
      </w:r>
      <w:r w:rsidR="005D3CD5" w:rsidRPr="005D3CD5">
        <w:rPr>
          <w:lang w:val="fr-FR"/>
        </w:rPr>
        <w:t>’</w:t>
      </w:r>
      <w:r w:rsidRPr="005D3CD5">
        <w:rPr>
          <w:lang w:val="fr-FR"/>
        </w:rPr>
        <w:t>homme (</w:t>
      </w:r>
      <w:r w:rsidR="00411061" w:rsidRPr="005D3CD5">
        <w:rPr>
          <w:lang w:val="fr-FR"/>
        </w:rPr>
        <w:t>première section</w:t>
      </w:r>
      <w:r w:rsidRPr="005D3CD5">
        <w:rPr>
          <w:lang w:val="fr-FR"/>
        </w:rPr>
        <w:t xml:space="preserve">), siégeant en </w:t>
      </w:r>
      <w:r w:rsidR="00411061" w:rsidRPr="005D3CD5">
        <w:rPr>
          <w:lang w:val="fr-FR"/>
        </w:rPr>
        <w:t>une chambre composée</w:t>
      </w:r>
      <w:r w:rsidRPr="005D3CD5">
        <w:rPr>
          <w:lang w:val="fr-FR"/>
        </w:rPr>
        <w:t xml:space="preserve"> de :</w:t>
      </w:r>
    </w:p>
    <w:p w:rsidR="00E77CB3" w:rsidRPr="005D3CD5" w:rsidRDefault="0050375E" w:rsidP="005D3CD5">
      <w:pPr>
        <w:pStyle w:val="ECHRDecisionBody"/>
        <w:rPr>
          <w:lang w:val="fr-FR"/>
        </w:rPr>
      </w:pPr>
      <w:r w:rsidRPr="005D3CD5">
        <w:rPr>
          <w:lang w:val="fr-FR"/>
        </w:rPr>
        <w:tab/>
        <w:t>Mirjana Lazarova Trajkovska,</w:t>
      </w:r>
      <w:r w:rsidRPr="005D3CD5">
        <w:rPr>
          <w:i/>
          <w:lang w:val="fr-FR"/>
        </w:rPr>
        <w:t xml:space="preserve"> présidente,</w:t>
      </w:r>
      <w:r w:rsidRPr="005D3CD5">
        <w:rPr>
          <w:i/>
          <w:lang w:val="fr-FR"/>
        </w:rPr>
        <w:br/>
      </w:r>
      <w:r w:rsidRPr="005D3CD5">
        <w:rPr>
          <w:lang w:val="fr-FR"/>
        </w:rPr>
        <w:tab/>
        <w:t>Ledi Bianku,</w:t>
      </w:r>
      <w:r w:rsidRPr="005D3CD5">
        <w:rPr>
          <w:i/>
          <w:lang w:val="fr-FR"/>
        </w:rPr>
        <w:br/>
      </w:r>
      <w:r w:rsidRPr="005D3CD5">
        <w:rPr>
          <w:lang w:val="fr-FR"/>
        </w:rPr>
        <w:tab/>
        <w:t>Guido Raimondi,</w:t>
      </w:r>
      <w:r w:rsidRPr="005D3CD5">
        <w:rPr>
          <w:i/>
          <w:lang w:val="fr-FR"/>
        </w:rPr>
        <w:br/>
      </w:r>
      <w:r w:rsidRPr="005D3CD5">
        <w:rPr>
          <w:lang w:val="fr-FR"/>
        </w:rPr>
        <w:tab/>
        <w:t>Kristina Pardalos,</w:t>
      </w:r>
      <w:r w:rsidRPr="005D3CD5">
        <w:rPr>
          <w:i/>
          <w:lang w:val="fr-FR"/>
        </w:rPr>
        <w:br/>
      </w:r>
      <w:r w:rsidRPr="005D3CD5">
        <w:rPr>
          <w:lang w:val="fr-FR"/>
        </w:rPr>
        <w:tab/>
        <w:t>Linos-Alexandre Sicilianos,</w:t>
      </w:r>
      <w:r w:rsidRPr="005D3CD5">
        <w:rPr>
          <w:i/>
          <w:lang w:val="fr-FR"/>
        </w:rPr>
        <w:br/>
      </w:r>
      <w:r w:rsidRPr="005D3CD5">
        <w:rPr>
          <w:lang w:val="fr-FR"/>
        </w:rPr>
        <w:tab/>
        <w:t>Robert Spano,</w:t>
      </w:r>
      <w:r w:rsidRPr="005D3CD5">
        <w:rPr>
          <w:i/>
          <w:lang w:val="fr-FR"/>
        </w:rPr>
        <w:br/>
      </w:r>
      <w:r w:rsidRPr="005D3CD5">
        <w:rPr>
          <w:lang w:val="fr-FR"/>
        </w:rPr>
        <w:tab/>
        <w:t>Armen Harutyunyan,</w:t>
      </w:r>
      <w:r w:rsidRPr="005D3CD5">
        <w:rPr>
          <w:i/>
          <w:lang w:val="fr-FR"/>
        </w:rPr>
        <w:t xml:space="preserve"> juges,</w:t>
      </w:r>
      <w:r w:rsidR="00E77CB3" w:rsidRPr="005D3CD5">
        <w:rPr>
          <w:lang w:val="fr-FR"/>
        </w:rPr>
        <w:br/>
        <w:t xml:space="preserve">et de </w:t>
      </w:r>
      <w:r w:rsidR="00411061" w:rsidRPr="005D3CD5">
        <w:rPr>
          <w:lang w:val="fr-FR"/>
        </w:rPr>
        <w:t>Abel Campos</w:t>
      </w:r>
      <w:r w:rsidR="00E77CB3" w:rsidRPr="005D3CD5">
        <w:rPr>
          <w:lang w:val="fr-FR"/>
        </w:rPr>
        <w:t xml:space="preserve">, </w:t>
      </w:r>
      <w:r w:rsidR="00411061" w:rsidRPr="005D3CD5">
        <w:rPr>
          <w:i/>
          <w:lang w:val="fr-FR"/>
        </w:rPr>
        <w:t>greffier</w:t>
      </w:r>
      <w:r w:rsidR="00411061" w:rsidRPr="005D3CD5">
        <w:rPr>
          <w:iCs/>
          <w:lang w:val="fr-FR"/>
        </w:rPr>
        <w:t xml:space="preserve"> </w:t>
      </w:r>
      <w:r w:rsidR="00411061" w:rsidRPr="005D3CD5">
        <w:rPr>
          <w:i/>
          <w:iCs/>
          <w:lang w:val="fr-FR"/>
        </w:rPr>
        <w:t>d</w:t>
      </w:r>
      <w:r w:rsidR="00411061" w:rsidRPr="005D3CD5">
        <w:rPr>
          <w:i/>
          <w:lang w:val="fr-FR"/>
        </w:rPr>
        <w:t>e section</w:t>
      </w:r>
      <w:r w:rsidR="00E77CB3" w:rsidRPr="005D3CD5">
        <w:rPr>
          <w:lang w:val="fr-FR"/>
        </w:rPr>
        <w:t>,</w:t>
      </w:r>
    </w:p>
    <w:p w:rsidR="00E77CB3" w:rsidRPr="005D3CD5" w:rsidRDefault="00E77CB3" w:rsidP="005D3CD5">
      <w:pPr>
        <w:pStyle w:val="ECHRPara"/>
        <w:rPr>
          <w:lang w:val="fr-FR"/>
        </w:rPr>
      </w:pPr>
      <w:r w:rsidRPr="005D3CD5">
        <w:rPr>
          <w:lang w:val="fr-FR"/>
        </w:rPr>
        <w:t xml:space="preserve">Après en avoir délibéré en chambre du conseil le </w:t>
      </w:r>
      <w:r w:rsidR="0050375E" w:rsidRPr="005D3CD5">
        <w:rPr>
          <w:lang w:val="fr-FR"/>
        </w:rPr>
        <w:t>13 septembre 2016</w:t>
      </w:r>
      <w:r w:rsidRPr="005D3CD5">
        <w:rPr>
          <w:lang w:val="fr-FR"/>
        </w:rPr>
        <w:t>,</w:t>
      </w:r>
    </w:p>
    <w:p w:rsidR="00E77CB3" w:rsidRPr="005D3CD5" w:rsidRDefault="00E77CB3" w:rsidP="005D3CD5">
      <w:pPr>
        <w:pStyle w:val="ECHRPara"/>
        <w:rPr>
          <w:lang w:val="fr-FR"/>
        </w:rPr>
      </w:pPr>
      <w:r w:rsidRPr="005D3CD5">
        <w:rPr>
          <w:lang w:val="fr-FR"/>
        </w:rPr>
        <w:t>Rend l</w:t>
      </w:r>
      <w:r w:rsidR="005D3CD5" w:rsidRPr="005D3CD5">
        <w:rPr>
          <w:lang w:val="fr-FR"/>
        </w:rPr>
        <w:t>’</w:t>
      </w:r>
      <w:r w:rsidRPr="005D3CD5">
        <w:rPr>
          <w:lang w:val="fr-FR"/>
        </w:rPr>
        <w:t>arrêt que voici, adopté à cette date :</w:t>
      </w:r>
    </w:p>
    <w:p w:rsidR="00E77CB3" w:rsidRPr="005D3CD5" w:rsidRDefault="00E77CB3" w:rsidP="005D3CD5">
      <w:pPr>
        <w:pStyle w:val="ECHRTitle1"/>
        <w:rPr>
          <w:lang w:val="fr-FR"/>
        </w:rPr>
      </w:pPr>
      <w:r w:rsidRPr="005D3CD5">
        <w:rPr>
          <w:lang w:val="fr-FR"/>
        </w:rPr>
        <w:t>PROCÉDURE</w:t>
      </w:r>
    </w:p>
    <w:p w:rsidR="00E77CB3" w:rsidRPr="005D3CD5" w:rsidRDefault="007A1DFF"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1</w:t>
      </w:r>
      <w:r w:rsidRPr="005D3CD5">
        <w:rPr>
          <w:lang w:val="fr-FR"/>
        </w:rPr>
        <w:fldChar w:fldCharType="end"/>
      </w:r>
      <w:r w:rsidRPr="005D3CD5">
        <w:rPr>
          <w:lang w:val="fr-FR"/>
        </w:rPr>
        <w:t>.  </w:t>
      </w:r>
      <w:r w:rsidR="00E77CB3" w:rsidRPr="005D3CD5">
        <w:rPr>
          <w:lang w:val="fr-FR"/>
        </w:rPr>
        <w:t>À l</w:t>
      </w:r>
      <w:r w:rsidR="005D3CD5" w:rsidRPr="005D3CD5">
        <w:rPr>
          <w:lang w:val="fr-FR"/>
        </w:rPr>
        <w:t>’</w:t>
      </w:r>
      <w:r w:rsidR="00E77CB3" w:rsidRPr="005D3CD5">
        <w:rPr>
          <w:lang w:val="fr-FR"/>
        </w:rPr>
        <w:t>origine de l</w:t>
      </w:r>
      <w:r w:rsidR="005D3CD5" w:rsidRPr="005D3CD5">
        <w:rPr>
          <w:lang w:val="fr-FR"/>
        </w:rPr>
        <w:t>’</w:t>
      </w:r>
      <w:r w:rsidR="00E77CB3" w:rsidRPr="005D3CD5">
        <w:rPr>
          <w:lang w:val="fr-FR"/>
        </w:rPr>
        <w:t xml:space="preserve">affaire </w:t>
      </w:r>
      <w:r w:rsidR="00411061" w:rsidRPr="005D3CD5">
        <w:rPr>
          <w:lang w:val="fr-FR"/>
        </w:rPr>
        <w:t>se trouvent quatre requêtes (n</w:t>
      </w:r>
      <w:r w:rsidR="00411061" w:rsidRPr="005D3CD5">
        <w:rPr>
          <w:vertAlign w:val="superscript"/>
          <w:lang w:val="fr-FR"/>
        </w:rPr>
        <w:t>os</w:t>
      </w:r>
      <w:r w:rsidR="00411061" w:rsidRPr="005D3CD5">
        <w:rPr>
          <w:lang w:val="fr-FR"/>
        </w:rPr>
        <w:t xml:space="preserve"> 3342/11</w:t>
      </w:r>
      <w:r w:rsidR="00BA5E68" w:rsidRPr="005D3CD5">
        <w:rPr>
          <w:lang w:val="fr-FR"/>
        </w:rPr>
        <w:t>,</w:t>
      </w:r>
      <w:r w:rsidR="00411061" w:rsidRPr="005D3CD5">
        <w:rPr>
          <w:lang w:val="fr-FR"/>
        </w:rPr>
        <w:t xml:space="preserve"> </w:t>
      </w:r>
      <w:r w:rsidR="00BA69CA" w:rsidRPr="005D3CD5">
        <w:rPr>
          <w:lang w:val="fr-FR"/>
        </w:rPr>
        <w:t>3391/11, 3408/11</w:t>
      </w:r>
      <w:r w:rsidR="00BA5E68" w:rsidRPr="005D3CD5">
        <w:rPr>
          <w:lang w:val="fr-FR"/>
        </w:rPr>
        <w:t xml:space="preserve"> et</w:t>
      </w:r>
      <w:r w:rsidR="00BA69CA" w:rsidRPr="005D3CD5">
        <w:rPr>
          <w:lang w:val="fr-FR"/>
        </w:rPr>
        <w:t xml:space="preserve"> 3447/11</w:t>
      </w:r>
      <w:r w:rsidR="00411061" w:rsidRPr="005D3CD5">
        <w:rPr>
          <w:lang w:val="fr-FR"/>
        </w:rPr>
        <w:t>) dirigées</w:t>
      </w:r>
      <w:r w:rsidR="00E77CB3" w:rsidRPr="005D3CD5">
        <w:rPr>
          <w:lang w:val="fr-FR"/>
        </w:rPr>
        <w:t xml:space="preserve"> contre </w:t>
      </w:r>
      <w:r w:rsidR="00411061" w:rsidRPr="005D3CD5">
        <w:rPr>
          <w:lang w:val="fr-FR"/>
        </w:rPr>
        <w:t>la République italienne</w:t>
      </w:r>
      <w:r w:rsidR="00E77CB3" w:rsidRPr="005D3CD5">
        <w:rPr>
          <w:lang w:val="fr-FR"/>
        </w:rPr>
        <w:t xml:space="preserve"> et dont </w:t>
      </w:r>
      <w:r w:rsidR="006940DD" w:rsidRPr="005D3CD5">
        <w:rPr>
          <w:lang w:val="fr-FR"/>
        </w:rPr>
        <w:t>quatre</w:t>
      </w:r>
      <w:r w:rsidR="00411061" w:rsidRPr="005D3CD5">
        <w:rPr>
          <w:lang w:val="fr-FR"/>
        </w:rPr>
        <w:t xml:space="preserve"> ressortissants ghanéens, MM. Taky Berko Richmond Yaw</w:t>
      </w:r>
      <w:r w:rsidR="006940DD" w:rsidRPr="005D3CD5">
        <w:rPr>
          <w:lang w:val="fr-FR"/>
        </w:rPr>
        <w:t xml:space="preserve">, Yaw Ansu Matthew, Darke Isaac Kwadwo et Dominic Twumasi (« les requérants »), nés respectivement en 1974, </w:t>
      </w:r>
      <w:r w:rsidR="00BA5E68" w:rsidRPr="005D3CD5">
        <w:rPr>
          <w:lang w:val="fr-FR"/>
        </w:rPr>
        <w:t xml:space="preserve">en </w:t>
      </w:r>
      <w:r w:rsidR="006940DD" w:rsidRPr="005D3CD5">
        <w:rPr>
          <w:lang w:val="fr-FR"/>
        </w:rPr>
        <w:t xml:space="preserve">1983, </w:t>
      </w:r>
      <w:r w:rsidR="00BA5E68" w:rsidRPr="005D3CD5">
        <w:rPr>
          <w:lang w:val="fr-FR"/>
        </w:rPr>
        <w:t xml:space="preserve">en </w:t>
      </w:r>
      <w:r w:rsidR="006940DD" w:rsidRPr="005D3CD5">
        <w:rPr>
          <w:lang w:val="fr-FR"/>
        </w:rPr>
        <w:t xml:space="preserve">1979 et </w:t>
      </w:r>
      <w:r w:rsidR="00BA5E68" w:rsidRPr="005D3CD5">
        <w:rPr>
          <w:lang w:val="fr-FR"/>
        </w:rPr>
        <w:t xml:space="preserve">en </w:t>
      </w:r>
      <w:r w:rsidR="006940DD" w:rsidRPr="005D3CD5">
        <w:rPr>
          <w:lang w:val="fr-FR"/>
        </w:rPr>
        <w:t>1986</w:t>
      </w:r>
      <w:r w:rsidR="00411061" w:rsidRPr="005D3CD5">
        <w:rPr>
          <w:lang w:val="fr-FR"/>
        </w:rPr>
        <w:t xml:space="preserve">, ont saisi la Cour le 26 novembre 2010 </w:t>
      </w:r>
      <w:r w:rsidR="00E77CB3" w:rsidRPr="005D3CD5">
        <w:rPr>
          <w:lang w:val="fr-FR"/>
        </w:rPr>
        <w:t xml:space="preserve">en vertu de </w:t>
      </w:r>
      <w:r w:rsidR="00411061" w:rsidRPr="005D3CD5">
        <w:rPr>
          <w:lang w:val="fr-FR"/>
        </w:rPr>
        <w:t>l</w:t>
      </w:r>
      <w:r w:rsidR="005D3CD5" w:rsidRPr="005D3CD5">
        <w:rPr>
          <w:lang w:val="fr-FR"/>
        </w:rPr>
        <w:t>’</w:t>
      </w:r>
      <w:r w:rsidR="00411061" w:rsidRPr="005D3CD5">
        <w:rPr>
          <w:lang w:val="fr-FR"/>
        </w:rPr>
        <w:t>article 34</w:t>
      </w:r>
      <w:r w:rsidR="00E77CB3" w:rsidRPr="005D3CD5">
        <w:rPr>
          <w:lang w:val="fr-FR"/>
        </w:rPr>
        <w:t xml:space="preserve"> de la Convention de sauvegarde des droits de l</w:t>
      </w:r>
      <w:r w:rsidR="005D3CD5" w:rsidRPr="005D3CD5">
        <w:rPr>
          <w:lang w:val="fr-FR"/>
        </w:rPr>
        <w:t>’</w:t>
      </w:r>
      <w:r w:rsidR="00E77CB3" w:rsidRPr="005D3CD5">
        <w:rPr>
          <w:lang w:val="fr-FR"/>
        </w:rPr>
        <w:t>homme et des libertés fondamentales (« la Convention »).</w:t>
      </w:r>
    </w:p>
    <w:p w:rsidR="00411061" w:rsidRPr="005D3CD5" w:rsidRDefault="00411061"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2</w:t>
      </w:r>
      <w:r w:rsidRPr="005D3CD5">
        <w:rPr>
          <w:lang w:val="fr-FR"/>
        </w:rPr>
        <w:fldChar w:fldCharType="end"/>
      </w:r>
      <w:r w:rsidR="00E77CB3" w:rsidRPr="005D3CD5">
        <w:rPr>
          <w:lang w:val="fr-FR"/>
        </w:rPr>
        <w:t>.  </w:t>
      </w:r>
      <w:r w:rsidRPr="005D3CD5">
        <w:rPr>
          <w:lang w:val="fr-FR"/>
        </w:rPr>
        <w:t>Les requérants ont été représentés par M</w:t>
      </w:r>
      <w:r w:rsidRPr="005D3CD5">
        <w:rPr>
          <w:vertAlign w:val="superscript"/>
          <w:lang w:val="fr-FR"/>
        </w:rPr>
        <w:t>e</w:t>
      </w:r>
      <w:r w:rsidRPr="005D3CD5">
        <w:rPr>
          <w:lang w:val="fr-FR"/>
        </w:rPr>
        <w:t xml:space="preserve"> A. Ferrara, avocat à Bénévent. </w:t>
      </w:r>
      <w:r w:rsidR="00E77CB3" w:rsidRPr="005D3CD5">
        <w:rPr>
          <w:lang w:val="fr-FR"/>
        </w:rPr>
        <w:t xml:space="preserve">Le gouvernement </w:t>
      </w:r>
      <w:r w:rsidRPr="005D3CD5">
        <w:rPr>
          <w:lang w:val="fr-FR"/>
        </w:rPr>
        <w:t>italien</w:t>
      </w:r>
      <w:r w:rsidR="00E77CB3" w:rsidRPr="005D3CD5">
        <w:rPr>
          <w:lang w:val="fr-FR"/>
        </w:rPr>
        <w:t xml:space="preserve"> (« le Gouvernement ») a été représenté par son</w:t>
      </w:r>
      <w:r w:rsidR="00CD287F" w:rsidRPr="005D3CD5">
        <w:rPr>
          <w:lang w:val="fr-FR"/>
        </w:rPr>
        <w:t xml:space="preserve"> agent</w:t>
      </w:r>
      <w:r w:rsidR="00515315" w:rsidRPr="005D3CD5">
        <w:rPr>
          <w:lang w:val="fr-FR"/>
        </w:rPr>
        <w:t>, M</w:t>
      </w:r>
      <w:r w:rsidR="00515315" w:rsidRPr="005D3CD5">
        <w:rPr>
          <w:vertAlign w:val="superscript"/>
          <w:lang w:val="fr-FR"/>
        </w:rPr>
        <w:t>me </w:t>
      </w:r>
      <w:r w:rsidR="00515315" w:rsidRPr="005D3CD5">
        <w:rPr>
          <w:lang w:val="fr-FR"/>
        </w:rPr>
        <w:t>E. Spatafora</w:t>
      </w:r>
      <w:r w:rsidR="00E77CB3" w:rsidRPr="005D3CD5">
        <w:rPr>
          <w:lang w:val="fr-FR"/>
        </w:rPr>
        <w:t>.</w:t>
      </w:r>
    </w:p>
    <w:p w:rsidR="009F210B" w:rsidRPr="005D3CD5" w:rsidRDefault="00411061" w:rsidP="005D3CD5">
      <w:pPr>
        <w:pStyle w:val="ECHRPara"/>
        <w:rPr>
          <w:bCs/>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3</w:t>
      </w:r>
      <w:r w:rsidRPr="005D3CD5">
        <w:rPr>
          <w:lang w:val="fr-FR"/>
        </w:rPr>
        <w:fldChar w:fldCharType="end"/>
      </w:r>
      <w:r w:rsidRPr="005D3CD5">
        <w:rPr>
          <w:lang w:val="fr-FR"/>
        </w:rPr>
        <w:t xml:space="preserve">.  Les requérants </w:t>
      </w:r>
      <w:r w:rsidR="007F263F" w:rsidRPr="005D3CD5">
        <w:rPr>
          <w:lang w:val="fr-FR"/>
        </w:rPr>
        <w:t xml:space="preserve">se plaignaient </w:t>
      </w:r>
      <w:r w:rsidRPr="005D3CD5">
        <w:rPr>
          <w:lang w:val="fr-FR"/>
        </w:rPr>
        <w:t>en particulier</w:t>
      </w:r>
      <w:r w:rsidR="00515315" w:rsidRPr="005D3CD5">
        <w:rPr>
          <w:lang w:val="fr-FR"/>
        </w:rPr>
        <w:t xml:space="preserve"> </w:t>
      </w:r>
      <w:r w:rsidR="00515315" w:rsidRPr="005D3CD5">
        <w:rPr>
          <w:bCs/>
          <w:lang w:val="fr-FR"/>
        </w:rPr>
        <w:t xml:space="preserve">de la détention subie </w:t>
      </w:r>
      <w:r w:rsidR="004860E0" w:rsidRPr="005D3CD5">
        <w:rPr>
          <w:bCs/>
          <w:lang w:val="fr-FR"/>
        </w:rPr>
        <w:t xml:space="preserve">par eux </w:t>
      </w:r>
      <w:r w:rsidR="00515315" w:rsidRPr="005D3CD5">
        <w:rPr>
          <w:bCs/>
          <w:lang w:val="fr-FR"/>
        </w:rPr>
        <w:t xml:space="preserve">aux fins </w:t>
      </w:r>
      <w:r w:rsidR="00F9236C" w:rsidRPr="005D3CD5">
        <w:rPr>
          <w:bCs/>
          <w:lang w:val="fr-FR"/>
        </w:rPr>
        <w:t>d</w:t>
      </w:r>
      <w:r w:rsidR="005D3CD5" w:rsidRPr="005D3CD5">
        <w:rPr>
          <w:bCs/>
          <w:lang w:val="fr-FR"/>
        </w:rPr>
        <w:t>’</w:t>
      </w:r>
      <w:r w:rsidR="00F9236C" w:rsidRPr="005D3CD5">
        <w:rPr>
          <w:bCs/>
          <w:lang w:val="fr-FR"/>
        </w:rPr>
        <w:t>exécution</w:t>
      </w:r>
      <w:r w:rsidR="00515315" w:rsidRPr="005D3CD5">
        <w:rPr>
          <w:bCs/>
          <w:lang w:val="fr-FR"/>
        </w:rPr>
        <w:t xml:space="preserve"> </w:t>
      </w:r>
      <w:r w:rsidR="00B564B7" w:rsidRPr="005D3CD5">
        <w:rPr>
          <w:bCs/>
          <w:lang w:val="fr-FR"/>
        </w:rPr>
        <w:t>d</w:t>
      </w:r>
      <w:r w:rsidR="005D3CD5" w:rsidRPr="005D3CD5">
        <w:rPr>
          <w:bCs/>
          <w:lang w:val="fr-FR"/>
        </w:rPr>
        <w:t>’</w:t>
      </w:r>
      <w:r w:rsidR="00B564B7" w:rsidRPr="005D3CD5">
        <w:rPr>
          <w:bCs/>
          <w:lang w:val="fr-FR"/>
        </w:rPr>
        <w:t>une</w:t>
      </w:r>
      <w:r w:rsidR="00515315" w:rsidRPr="005D3CD5">
        <w:rPr>
          <w:bCs/>
          <w:lang w:val="fr-FR"/>
        </w:rPr>
        <w:t xml:space="preserve"> mesure de reconduite à la frontière</w:t>
      </w:r>
      <w:r w:rsidR="007F263F" w:rsidRPr="005D3CD5">
        <w:rPr>
          <w:bCs/>
          <w:lang w:val="fr-FR"/>
        </w:rPr>
        <w:t>.</w:t>
      </w:r>
    </w:p>
    <w:p w:rsidR="00515315" w:rsidRPr="005D3CD5" w:rsidRDefault="00515315"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4</w:t>
      </w:r>
      <w:r w:rsidRPr="005D3CD5">
        <w:rPr>
          <w:lang w:val="fr-FR"/>
        </w:rPr>
        <w:fldChar w:fldCharType="end"/>
      </w:r>
      <w:r w:rsidRPr="005D3CD5">
        <w:rPr>
          <w:lang w:val="fr-FR"/>
        </w:rPr>
        <w:t>.  Le 5 mars 2015, les requêtes ont été communiquées au Gouvernement</w:t>
      </w:r>
      <w:r w:rsidR="004860E0" w:rsidRPr="005D3CD5">
        <w:rPr>
          <w:lang w:val="fr-FR"/>
        </w:rPr>
        <w:t>.</w:t>
      </w:r>
      <w:r w:rsidR="00BD3E7D" w:rsidRPr="005D3CD5">
        <w:rPr>
          <w:lang w:val="fr-FR"/>
        </w:rPr>
        <w:t xml:space="preserve"> Tant les requérants que le gouvernement défendeur ont déposé des observations écrites. En outre, des commentaires ont été reçus de la part d</w:t>
      </w:r>
      <w:r w:rsidR="005D3CD5" w:rsidRPr="005D3CD5">
        <w:rPr>
          <w:lang w:val="fr-FR"/>
        </w:rPr>
        <w:t>’</w:t>
      </w:r>
      <w:r w:rsidR="00BD3E7D" w:rsidRPr="005D3CD5">
        <w:rPr>
          <w:lang w:val="fr-FR"/>
        </w:rPr>
        <w:t>une association non gouvernementale</w:t>
      </w:r>
      <w:r w:rsidR="004860E0" w:rsidRPr="005D3CD5">
        <w:rPr>
          <w:lang w:val="fr-FR"/>
        </w:rPr>
        <w:t xml:space="preserve">, </w:t>
      </w:r>
      <w:r w:rsidR="00D229A7" w:rsidRPr="005D3CD5">
        <w:rPr>
          <w:lang w:val="fr-FR"/>
        </w:rPr>
        <w:t>l</w:t>
      </w:r>
      <w:r w:rsidR="005D3CD5" w:rsidRPr="005D3CD5">
        <w:rPr>
          <w:lang w:val="fr-FR"/>
        </w:rPr>
        <w:t>’</w:t>
      </w:r>
      <w:r w:rsidR="00BD3E7D" w:rsidRPr="005D3CD5">
        <w:rPr>
          <w:lang w:val="fr-FR"/>
        </w:rPr>
        <w:t>Internatio</w:t>
      </w:r>
      <w:r w:rsidR="00996C8A" w:rsidRPr="005D3CD5">
        <w:rPr>
          <w:lang w:val="fr-FR"/>
        </w:rPr>
        <w:t>nal Commission of Jurists (</w:t>
      </w:r>
      <w:r w:rsidR="004860E0" w:rsidRPr="005D3CD5">
        <w:rPr>
          <w:lang w:val="fr-FR"/>
        </w:rPr>
        <w:t>« </w:t>
      </w:r>
      <w:r w:rsidR="00443F2F" w:rsidRPr="005D3CD5">
        <w:rPr>
          <w:lang w:val="fr-FR"/>
        </w:rPr>
        <w:t>l</w:t>
      </w:r>
      <w:r w:rsidR="005D3CD5" w:rsidRPr="005D3CD5">
        <w:rPr>
          <w:lang w:val="fr-FR"/>
        </w:rPr>
        <w:t>’</w:t>
      </w:r>
      <w:r w:rsidR="00996C8A" w:rsidRPr="005D3CD5">
        <w:rPr>
          <w:lang w:val="fr-FR"/>
        </w:rPr>
        <w:t>ICJ</w:t>
      </w:r>
      <w:r w:rsidR="004860E0" w:rsidRPr="005D3CD5">
        <w:rPr>
          <w:lang w:val="fr-FR"/>
        </w:rPr>
        <w:t> »</w:t>
      </w:r>
      <w:r w:rsidR="00996C8A" w:rsidRPr="005D3CD5">
        <w:rPr>
          <w:lang w:val="fr-FR"/>
        </w:rPr>
        <w:t>).</w:t>
      </w:r>
    </w:p>
    <w:p w:rsidR="00E77CB3" w:rsidRPr="005D3CD5" w:rsidRDefault="00E77CB3" w:rsidP="005D3CD5">
      <w:pPr>
        <w:pStyle w:val="ECHRTitle1"/>
        <w:tabs>
          <w:tab w:val="left" w:pos="5387"/>
        </w:tabs>
        <w:rPr>
          <w:lang w:val="fr-FR"/>
        </w:rPr>
      </w:pPr>
      <w:r w:rsidRPr="005D3CD5">
        <w:rPr>
          <w:lang w:val="fr-FR"/>
        </w:rPr>
        <w:lastRenderedPageBreak/>
        <w:t>EN FAIT</w:t>
      </w:r>
    </w:p>
    <w:p w:rsidR="00E77CB3" w:rsidRPr="005D3CD5" w:rsidRDefault="00E77CB3" w:rsidP="005D3CD5">
      <w:pPr>
        <w:pStyle w:val="ECHRHeading1"/>
        <w:rPr>
          <w:lang w:val="fr-FR"/>
        </w:rPr>
      </w:pPr>
      <w:r w:rsidRPr="005D3CD5">
        <w:rPr>
          <w:lang w:val="fr-FR"/>
        </w:rPr>
        <w:t>I.  LES CIRCONSTANCES DE L</w:t>
      </w:r>
      <w:r w:rsidR="005D3CD5" w:rsidRPr="005D3CD5">
        <w:rPr>
          <w:lang w:val="fr-FR"/>
        </w:rPr>
        <w:t>’</w:t>
      </w:r>
      <w:r w:rsidRPr="005D3CD5">
        <w:rPr>
          <w:lang w:val="fr-FR"/>
        </w:rPr>
        <w:t>ESPÈCE</w:t>
      </w:r>
    </w:p>
    <w:p w:rsidR="00996C8A" w:rsidRPr="005D3CD5" w:rsidRDefault="00996C8A" w:rsidP="005D3CD5">
      <w:pPr>
        <w:pStyle w:val="ECHRPara"/>
        <w:rPr>
          <w:rFonts w:eastAsia="Times New Roman"/>
          <w:lang w:val="fr-FR"/>
        </w:rPr>
      </w:pPr>
      <w:r w:rsidRPr="005D3CD5">
        <w:rPr>
          <w:rFonts w:eastAsia="Times New Roman"/>
        </w:rPr>
        <w:fldChar w:fldCharType="begin"/>
      </w:r>
      <w:r w:rsidRPr="005D3CD5">
        <w:rPr>
          <w:rFonts w:eastAsia="Times New Roman"/>
          <w:lang w:val="fr-FR"/>
        </w:rPr>
        <w:instrText xml:space="preserve"> SEQ level0 \*arabic </w:instrText>
      </w:r>
      <w:r w:rsidRPr="005D3CD5">
        <w:rPr>
          <w:rFonts w:eastAsia="Times New Roman"/>
        </w:rPr>
        <w:fldChar w:fldCharType="separate"/>
      </w:r>
      <w:r w:rsidR="005D3CD5" w:rsidRPr="005D3CD5">
        <w:rPr>
          <w:rFonts w:eastAsia="Times New Roman"/>
          <w:noProof/>
          <w:lang w:val="fr-FR"/>
        </w:rPr>
        <w:t>5</w:t>
      </w:r>
      <w:r w:rsidRPr="005D3CD5">
        <w:rPr>
          <w:rFonts w:eastAsia="Times New Roman"/>
        </w:rPr>
        <w:fldChar w:fldCharType="end"/>
      </w:r>
      <w:r w:rsidRPr="005D3CD5">
        <w:rPr>
          <w:rFonts w:eastAsia="Times New Roman"/>
          <w:lang w:val="fr-FR"/>
        </w:rPr>
        <w:t xml:space="preserve">.  Les requérants sont quatre ressortissants </w:t>
      </w:r>
      <w:r w:rsidR="00570543" w:rsidRPr="005D3CD5">
        <w:rPr>
          <w:rFonts w:eastAsia="Times New Roman"/>
          <w:lang w:val="fr-FR"/>
        </w:rPr>
        <w:t>ghanéens</w:t>
      </w:r>
      <w:r w:rsidRPr="005D3CD5">
        <w:rPr>
          <w:rFonts w:eastAsia="Times New Roman"/>
          <w:lang w:val="fr-FR"/>
        </w:rPr>
        <w:t xml:space="preserve"> qui </w:t>
      </w:r>
      <w:r w:rsidR="004860E0" w:rsidRPr="005D3CD5">
        <w:rPr>
          <w:rFonts w:eastAsia="Times New Roman"/>
          <w:lang w:val="fr-FR"/>
        </w:rPr>
        <w:t>ont fui leur pays en raison d</w:t>
      </w:r>
      <w:r w:rsidR="005D3CD5" w:rsidRPr="005D3CD5">
        <w:rPr>
          <w:rFonts w:eastAsia="Times New Roman"/>
          <w:lang w:val="fr-FR"/>
        </w:rPr>
        <w:t>’</w:t>
      </w:r>
      <w:r w:rsidR="00A714B0" w:rsidRPr="005D3CD5">
        <w:rPr>
          <w:rFonts w:eastAsia="Times New Roman"/>
          <w:lang w:val="fr-FR"/>
        </w:rPr>
        <w:t>affrontements inter</w:t>
      </w:r>
      <w:r w:rsidR="004860E0" w:rsidRPr="005D3CD5">
        <w:rPr>
          <w:rFonts w:eastAsia="Times New Roman"/>
          <w:lang w:val="fr-FR"/>
        </w:rPr>
        <w:t>religieu</w:t>
      </w:r>
      <w:r w:rsidR="00A714B0" w:rsidRPr="005D3CD5">
        <w:rPr>
          <w:rFonts w:eastAsia="Times New Roman"/>
          <w:lang w:val="fr-FR"/>
        </w:rPr>
        <w:t>x</w:t>
      </w:r>
      <w:r w:rsidR="004860E0" w:rsidRPr="005D3CD5">
        <w:rPr>
          <w:rFonts w:eastAsia="Times New Roman"/>
          <w:lang w:val="fr-FR"/>
        </w:rPr>
        <w:t xml:space="preserve"> et qui sont arrivés</w:t>
      </w:r>
      <w:r w:rsidRPr="005D3CD5">
        <w:rPr>
          <w:rFonts w:eastAsia="Times New Roman"/>
          <w:lang w:val="fr-FR"/>
        </w:rPr>
        <w:t xml:space="preserve"> en Italie en juin 2008.</w:t>
      </w:r>
    </w:p>
    <w:p w:rsidR="00996C8A" w:rsidRPr="005D3CD5" w:rsidRDefault="00712BEB"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6</w:t>
      </w:r>
      <w:r w:rsidRPr="005D3CD5">
        <w:rPr>
          <w:rFonts w:eastAsia="Times New Roman"/>
          <w:lang w:val="fr-FR"/>
        </w:rPr>
        <w:fldChar w:fldCharType="end"/>
      </w:r>
      <w:r w:rsidRPr="005D3CD5">
        <w:rPr>
          <w:rFonts w:eastAsia="Times New Roman"/>
          <w:lang w:val="fr-FR"/>
        </w:rPr>
        <w:t>.  </w:t>
      </w:r>
      <w:r w:rsidR="00996C8A" w:rsidRPr="005D3CD5">
        <w:rPr>
          <w:rFonts w:eastAsia="Times New Roman"/>
          <w:lang w:val="fr-FR"/>
        </w:rPr>
        <w:t xml:space="preserve">Le 20 novembre 2008, </w:t>
      </w:r>
      <w:r w:rsidR="00A714B0" w:rsidRPr="005D3CD5">
        <w:rPr>
          <w:rFonts w:eastAsia="Times New Roman"/>
          <w:lang w:val="fr-FR"/>
        </w:rPr>
        <w:t xml:space="preserve">le préfet de Caserte notifia des </w:t>
      </w:r>
      <w:r w:rsidR="00996C8A" w:rsidRPr="005D3CD5">
        <w:rPr>
          <w:rFonts w:eastAsia="Times New Roman"/>
          <w:lang w:val="fr-FR"/>
        </w:rPr>
        <w:t>décret</w:t>
      </w:r>
      <w:r w:rsidR="00A714B0" w:rsidRPr="005D3CD5">
        <w:rPr>
          <w:rFonts w:eastAsia="Times New Roman"/>
          <w:lang w:val="fr-FR"/>
        </w:rPr>
        <w:t>s</w:t>
      </w:r>
      <w:r w:rsidR="00996C8A" w:rsidRPr="005D3CD5">
        <w:rPr>
          <w:rFonts w:eastAsia="Times New Roman"/>
          <w:lang w:val="fr-FR"/>
        </w:rPr>
        <w:t xml:space="preserve"> d</w:t>
      </w:r>
      <w:r w:rsidR="005D3CD5" w:rsidRPr="005D3CD5">
        <w:rPr>
          <w:rFonts w:eastAsia="Times New Roman"/>
          <w:lang w:val="fr-FR"/>
        </w:rPr>
        <w:t>’</w:t>
      </w:r>
      <w:r w:rsidR="00996C8A" w:rsidRPr="005D3CD5">
        <w:rPr>
          <w:rFonts w:eastAsia="Times New Roman"/>
          <w:lang w:val="fr-FR"/>
        </w:rPr>
        <w:t>expulsion aux requérants. Ce</w:t>
      </w:r>
      <w:r w:rsidR="00A714B0" w:rsidRPr="005D3CD5">
        <w:rPr>
          <w:rFonts w:eastAsia="Times New Roman"/>
          <w:lang w:val="fr-FR"/>
        </w:rPr>
        <w:t>s</w:t>
      </w:r>
      <w:r w:rsidR="00996C8A" w:rsidRPr="005D3CD5">
        <w:rPr>
          <w:rFonts w:eastAsia="Times New Roman"/>
          <w:lang w:val="fr-FR"/>
        </w:rPr>
        <w:t xml:space="preserve"> décret</w:t>
      </w:r>
      <w:r w:rsidR="00A714B0" w:rsidRPr="005D3CD5">
        <w:rPr>
          <w:rFonts w:eastAsia="Times New Roman"/>
          <w:lang w:val="fr-FR"/>
        </w:rPr>
        <w:t>s</w:t>
      </w:r>
      <w:r w:rsidR="00996C8A" w:rsidRPr="005D3CD5">
        <w:rPr>
          <w:rFonts w:eastAsia="Times New Roman"/>
          <w:lang w:val="fr-FR"/>
        </w:rPr>
        <w:t xml:space="preserve"> prévoyai</w:t>
      </w:r>
      <w:r w:rsidR="00A714B0" w:rsidRPr="005D3CD5">
        <w:rPr>
          <w:rFonts w:eastAsia="Times New Roman"/>
          <w:lang w:val="fr-FR"/>
        </w:rPr>
        <w:t>en</w:t>
      </w:r>
      <w:r w:rsidR="00996C8A" w:rsidRPr="005D3CD5">
        <w:rPr>
          <w:rFonts w:eastAsia="Times New Roman"/>
          <w:lang w:val="fr-FR"/>
        </w:rPr>
        <w:t xml:space="preserve">t que les requérants devaient être reconduits à la frontière une fois </w:t>
      </w:r>
      <w:r w:rsidR="00E34B77" w:rsidRPr="005D3CD5">
        <w:rPr>
          <w:rFonts w:eastAsia="Times New Roman"/>
          <w:lang w:val="fr-FR"/>
        </w:rPr>
        <w:t xml:space="preserve">ces décisions </w:t>
      </w:r>
      <w:r w:rsidR="00996C8A" w:rsidRPr="005D3CD5">
        <w:rPr>
          <w:rFonts w:eastAsia="Times New Roman"/>
          <w:lang w:val="fr-FR"/>
        </w:rPr>
        <w:t>validé</w:t>
      </w:r>
      <w:r w:rsidR="00E34B77" w:rsidRPr="005D3CD5">
        <w:rPr>
          <w:rFonts w:eastAsia="Times New Roman"/>
          <w:lang w:val="fr-FR"/>
        </w:rPr>
        <w:t>e</w:t>
      </w:r>
      <w:r w:rsidR="00A714B0" w:rsidRPr="005D3CD5">
        <w:rPr>
          <w:rFonts w:eastAsia="Times New Roman"/>
          <w:lang w:val="fr-FR"/>
        </w:rPr>
        <w:t>s</w:t>
      </w:r>
      <w:r w:rsidR="00996C8A" w:rsidRPr="005D3CD5">
        <w:rPr>
          <w:rFonts w:eastAsia="Times New Roman"/>
          <w:lang w:val="fr-FR"/>
        </w:rPr>
        <w:t xml:space="preserve"> par le juge de paix.</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7</w:t>
      </w:r>
      <w:r w:rsidRPr="005D3CD5">
        <w:rPr>
          <w:rFonts w:eastAsia="Times New Roman"/>
          <w:lang w:val="fr-FR"/>
        </w:rPr>
        <w:fldChar w:fldCharType="end"/>
      </w:r>
      <w:r w:rsidRPr="005D3CD5">
        <w:rPr>
          <w:rFonts w:eastAsia="Times New Roman"/>
          <w:lang w:val="fr-FR"/>
        </w:rPr>
        <w:t xml:space="preserve">.  Le même jour, la préfecture imposa </w:t>
      </w:r>
      <w:r w:rsidR="00443F2F" w:rsidRPr="005D3CD5">
        <w:rPr>
          <w:rFonts w:eastAsia="Times New Roman"/>
          <w:lang w:val="fr-FR"/>
        </w:rPr>
        <w:t xml:space="preserve">aux requérants </w:t>
      </w:r>
      <w:r w:rsidRPr="005D3CD5">
        <w:rPr>
          <w:rFonts w:eastAsia="Times New Roman"/>
          <w:lang w:val="fr-FR"/>
        </w:rPr>
        <w:t xml:space="preserve">un placement dans le centre de rétention temporaire </w:t>
      </w:r>
      <w:r w:rsidR="0044206D" w:rsidRPr="005D3CD5">
        <w:rPr>
          <w:rFonts w:eastAsia="Times New Roman"/>
          <w:lang w:val="fr-FR"/>
        </w:rPr>
        <w:t>(dit aussi « centre d</w:t>
      </w:r>
      <w:r w:rsidR="005D3CD5" w:rsidRPr="005D3CD5">
        <w:rPr>
          <w:rFonts w:eastAsia="Times New Roman"/>
          <w:lang w:val="fr-FR"/>
        </w:rPr>
        <w:t>’</w:t>
      </w:r>
      <w:r w:rsidR="0044206D" w:rsidRPr="005D3CD5">
        <w:rPr>
          <w:rFonts w:eastAsia="Times New Roman"/>
          <w:lang w:val="fr-FR"/>
        </w:rPr>
        <w:t>expulsion et d</w:t>
      </w:r>
      <w:r w:rsidR="005D3CD5" w:rsidRPr="005D3CD5">
        <w:rPr>
          <w:rFonts w:eastAsia="Times New Roman"/>
          <w:lang w:val="fr-FR"/>
        </w:rPr>
        <w:t>’</w:t>
      </w:r>
      <w:r w:rsidR="0044206D" w:rsidRPr="005D3CD5">
        <w:rPr>
          <w:rFonts w:eastAsia="Times New Roman"/>
          <w:lang w:val="fr-FR"/>
        </w:rPr>
        <w:t>identification »</w:t>
      </w:r>
      <w:r w:rsidR="00E34B77" w:rsidRPr="005D3CD5">
        <w:rPr>
          <w:rFonts w:eastAsia="Times New Roman"/>
          <w:lang w:val="fr-FR"/>
        </w:rPr>
        <w:t xml:space="preserve"> –</w:t>
      </w:r>
      <w:r w:rsidR="0044206D" w:rsidRPr="005D3CD5">
        <w:rPr>
          <w:rFonts w:eastAsia="Times New Roman"/>
          <w:lang w:val="fr-FR"/>
        </w:rPr>
        <w:t xml:space="preserve"> « le CIE ») </w:t>
      </w:r>
      <w:r w:rsidRPr="005D3CD5">
        <w:rPr>
          <w:rFonts w:eastAsia="Times New Roman"/>
          <w:lang w:val="fr-FR"/>
        </w:rPr>
        <w:t xml:space="preserve">de Ponte Galeria, à Rome, </w:t>
      </w:r>
      <w:r w:rsidR="00443F2F" w:rsidRPr="005D3CD5">
        <w:rPr>
          <w:rFonts w:eastAsia="Times New Roman"/>
          <w:lang w:val="fr-FR"/>
        </w:rPr>
        <w:t>afin de</w:t>
      </w:r>
      <w:r w:rsidRPr="005D3CD5">
        <w:rPr>
          <w:rFonts w:eastAsia="Times New Roman"/>
          <w:lang w:val="fr-FR"/>
        </w:rPr>
        <w:t xml:space="preserve"> procéder à </w:t>
      </w:r>
      <w:r w:rsidR="00443F2F" w:rsidRPr="005D3CD5">
        <w:rPr>
          <w:rFonts w:eastAsia="Times New Roman"/>
          <w:lang w:val="fr-FR"/>
        </w:rPr>
        <w:t xml:space="preserve">leur </w:t>
      </w:r>
      <w:r w:rsidRPr="005D3CD5">
        <w:rPr>
          <w:rFonts w:eastAsia="Times New Roman"/>
          <w:lang w:val="fr-FR"/>
        </w:rPr>
        <w:t>identification.</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8</w:t>
      </w:r>
      <w:r w:rsidRPr="005D3CD5">
        <w:rPr>
          <w:rFonts w:eastAsia="Times New Roman"/>
          <w:lang w:val="fr-FR"/>
        </w:rPr>
        <w:fldChar w:fldCharType="end"/>
      </w:r>
      <w:r w:rsidRPr="005D3CD5">
        <w:rPr>
          <w:rFonts w:eastAsia="Times New Roman"/>
          <w:lang w:val="fr-FR"/>
        </w:rPr>
        <w:t>.  Le 24 novembre 2008</w:t>
      </w:r>
      <w:r w:rsidR="00833AFD" w:rsidRPr="005D3CD5">
        <w:rPr>
          <w:rFonts w:eastAsia="Times New Roman"/>
          <w:lang w:val="fr-FR"/>
        </w:rPr>
        <w:t>,</w:t>
      </w:r>
      <w:r w:rsidRPr="005D3CD5">
        <w:rPr>
          <w:rFonts w:eastAsia="Times New Roman"/>
          <w:lang w:val="fr-FR"/>
        </w:rPr>
        <w:t xml:space="preserve"> le juge de paix de Rome valida le placement </w:t>
      </w:r>
      <w:r w:rsidR="00E231EB" w:rsidRPr="005D3CD5">
        <w:rPr>
          <w:rFonts w:eastAsia="Times New Roman"/>
          <w:lang w:val="fr-FR"/>
        </w:rPr>
        <w:t>dans le CIE</w:t>
      </w:r>
      <w:r w:rsidRPr="005D3CD5">
        <w:rPr>
          <w:rFonts w:eastAsia="Times New Roman"/>
          <w:lang w:val="fr-FR"/>
        </w:rPr>
        <w:t>.</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9</w:t>
      </w:r>
      <w:r w:rsidRPr="005D3CD5">
        <w:rPr>
          <w:rFonts w:eastAsia="Times New Roman"/>
          <w:lang w:val="fr-FR"/>
        </w:rPr>
        <w:fldChar w:fldCharType="end"/>
      </w:r>
      <w:r w:rsidRPr="005D3CD5">
        <w:rPr>
          <w:rFonts w:eastAsia="Times New Roman"/>
          <w:lang w:val="fr-FR"/>
        </w:rPr>
        <w:t>.  Le 11 décembre 2008, le chef de la police (</w:t>
      </w:r>
      <w:r w:rsidRPr="005D3CD5">
        <w:rPr>
          <w:rFonts w:eastAsia="Times New Roman"/>
          <w:i/>
          <w:lang w:val="fr-FR"/>
        </w:rPr>
        <w:t>questore</w:t>
      </w:r>
      <w:r w:rsidRPr="005D3CD5">
        <w:rPr>
          <w:rFonts w:eastAsia="Times New Roman"/>
          <w:lang w:val="fr-FR"/>
        </w:rPr>
        <w:t xml:space="preserve">) </w:t>
      </w:r>
      <w:r w:rsidR="00B564B7" w:rsidRPr="005D3CD5">
        <w:rPr>
          <w:rFonts w:eastAsia="Times New Roman"/>
          <w:lang w:val="fr-FR"/>
        </w:rPr>
        <w:t>demanda</w:t>
      </w:r>
      <w:r w:rsidRPr="005D3CD5">
        <w:rPr>
          <w:rFonts w:eastAsia="Times New Roman"/>
          <w:lang w:val="fr-FR"/>
        </w:rPr>
        <w:t xml:space="preserve"> au juge de paix de Rome de proroger le placement des requérants de trente jours.</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10</w:t>
      </w:r>
      <w:r w:rsidRPr="005D3CD5">
        <w:rPr>
          <w:rFonts w:eastAsia="Times New Roman"/>
          <w:lang w:val="fr-FR"/>
        </w:rPr>
        <w:fldChar w:fldCharType="end"/>
      </w:r>
      <w:r w:rsidRPr="005D3CD5">
        <w:rPr>
          <w:rFonts w:eastAsia="Times New Roman"/>
          <w:lang w:val="fr-FR"/>
        </w:rPr>
        <w:t>.  Le 15 décembre 2008, le</w:t>
      </w:r>
      <w:r w:rsidR="007B01A0" w:rsidRPr="005D3CD5">
        <w:rPr>
          <w:rFonts w:eastAsia="Times New Roman"/>
          <w:lang w:val="fr-FR"/>
        </w:rPr>
        <w:t>s</w:t>
      </w:r>
      <w:r w:rsidRPr="005D3CD5">
        <w:rPr>
          <w:rFonts w:eastAsia="Times New Roman"/>
          <w:lang w:val="fr-FR"/>
        </w:rPr>
        <w:t xml:space="preserve"> requérants </w:t>
      </w:r>
      <w:r w:rsidR="00C700D9" w:rsidRPr="005D3CD5">
        <w:rPr>
          <w:rFonts w:eastAsia="Times New Roman"/>
          <w:lang w:val="fr-FR"/>
        </w:rPr>
        <w:t>introduisirent</w:t>
      </w:r>
      <w:r w:rsidRPr="005D3CD5">
        <w:rPr>
          <w:rFonts w:eastAsia="Times New Roman"/>
          <w:lang w:val="fr-FR"/>
        </w:rPr>
        <w:t xml:space="preserve"> une demande officielle de protection internationale.</w:t>
      </w:r>
    </w:p>
    <w:p w:rsidR="009F210B"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11</w:t>
      </w:r>
      <w:r w:rsidRPr="005D3CD5">
        <w:rPr>
          <w:rFonts w:eastAsia="Times New Roman"/>
          <w:lang w:val="fr-FR"/>
        </w:rPr>
        <w:fldChar w:fldCharType="end"/>
      </w:r>
      <w:r w:rsidRPr="005D3CD5">
        <w:rPr>
          <w:rFonts w:eastAsia="Times New Roman"/>
          <w:lang w:val="fr-FR"/>
        </w:rPr>
        <w:t xml:space="preserve">.  Le 17 décembre 2008, sans prévenir </w:t>
      </w:r>
      <w:r w:rsidR="001C2736" w:rsidRPr="005D3CD5">
        <w:rPr>
          <w:rFonts w:eastAsia="Times New Roman"/>
          <w:lang w:val="fr-FR"/>
        </w:rPr>
        <w:t xml:space="preserve">ni </w:t>
      </w:r>
      <w:r w:rsidRPr="005D3CD5">
        <w:rPr>
          <w:rFonts w:eastAsia="Times New Roman"/>
          <w:lang w:val="fr-FR"/>
        </w:rPr>
        <w:t xml:space="preserve">les requérants </w:t>
      </w:r>
      <w:r w:rsidR="00E27B2A" w:rsidRPr="005D3CD5">
        <w:rPr>
          <w:rFonts w:eastAsia="Times New Roman"/>
          <w:lang w:val="fr-FR"/>
        </w:rPr>
        <w:t xml:space="preserve">ni leur avocat, </w:t>
      </w:r>
      <w:r w:rsidRPr="005D3CD5">
        <w:rPr>
          <w:rFonts w:eastAsia="Times New Roman"/>
          <w:lang w:val="fr-FR"/>
        </w:rPr>
        <w:t xml:space="preserve">le juge de paix </w:t>
      </w:r>
      <w:r w:rsidR="00A714B0" w:rsidRPr="005D3CD5">
        <w:rPr>
          <w:rFonts w:eastAsia="Times New Roman"/>
          <w:lang w:val="fr-FR"/>
        </w:rPr>
        <w:t xml:space="preserve">de Rome </w:t>
      </w:r>
      <w:r w:rsidRPr="005D3CD5">
        <w:rPr>
          <w:rFonts w:eastAsia="Times New Roman"/>
          <w:lang w:val="fr-FR"/>
        </w:rPr>
        <w:t>prorogea ledit placement jusqu</w:t>
      </w:r>
      <w:r w:rsidR="005D3CD5" w:rsidRPr="005D3CD5">
        <w:rPr>
          <w:rFonts w:eastAsia="Times New Roman"/>
          <w:lang w:val="fr-FR"/>
        </w:rPr>
        <w:t>’</w:t>
      </w:r>
      <w:r w:rsidRPr="005D3CD5">
        <w:rPr>
          <w:rFonts w:eastAsia="Times New Roman"/>
          <w:lang w:val="fr-FR"/>
        </w:rPr>
        <w:t xml:space="preserve">au 23 janvier 2009 </w:t>
      </w:r>
      <w:r w:rsidR="00C700D9" w:rsidRPr="005D3CD5">
        <w:rPr>
          <w:rFonts w:eastAsia="Times New Roman"/>
          <w:lang w:val="fr-FR"/>
        </w:rPr>
        <w:t>au motif que</w:t>
      </w:r>
      <w:r w:rsidRPr="005D3CD5">
        <w:rPr>
          <w:rFonts w:eastAsia="Times New Roman"/>
          <w:lang w:val="fr-FR"/>
        </w:rPr>
        <w:t xml:space="preserve"> la procédure d</w:t>
      </w:r>
      <w:r w:rsidR="005D3CD5" w:rsidRPr="005D3CD5">
        <w:rPr>
          <w:rFonts w:eastAsia="Times New Roman"/>
          <w:lang w:val="fr-FR"/>
        </w:rPr>
        <w:t>’</w:t>
      </w:r>
      <w:r w:rsidRPr="005D3CD5">
        <w:rPr>
          <w:rFonts w:eastAsia="Times New Roman"/>
          <w:lang w:val="fr-FR"/>
        </w:rPr>
        <w:t xml:space="preserve">identification des </w:t>
      </w:r>
      <w:r w:rsidR="001C2736" w:rsidRPr="005D3CD5">
        <w:rPr>
          <w:rFonts w:eastAsia="Times New Roman"/>
          <w:lang w:val="fr-FR"/>
        </w:rPr>
        <w:t>intéressés</w:t>
      </w:r>
      <w:r w:rsidRPr="005D3CD5">
        <w:rPr>
          <w:rFonts w:eastAsia="Times New Roman"/>
          <w:lang w:val="fr-FR"/>
        </w:rPr>
        <w:t xml:space="preserve"> n</w:t>
      </w:r>
      <w:r w:rsidR="005D3CD5" w:rsidRPr="005D3CD5">
        <w:rPr>
          <w:rFonts w:eastAsia="Times New Roman"/>
          <w:lang w:val="fr-FR"/>
        </w:rPr>
        <w:t>’</w:t>
      </w:r>
      <w:r w:rsidRPr="005D3CD5">
        <w:rPr>
          <w:rFonts w:eastAsia="Times New Roman"/>
          <w:lang w:val="fr-FR"/>
        </w:rPr>
        <w:t xml:space="preserve">avait pas </w:t>
      </w:r>
      <w:r w:rsidR="00B564B7" w:rsidRPr="005D3CD5">
        <w:rPr>
          <w:rFonts w:eastAsia="Times New Roman"/>
          <w:lang w:val="fr-FR"/>
        </w:rPr>
        <w:t xml:space="preserve">été </w:t>
      </w:r>
      <w:r w:rsidR="00B870BE" w:rsidRPr="005D3CD5">
        <w:rPr>
          <w:rFonts w:eastAsia="Times New Roman"/>
          <w:lang w:val="fr-FR"/>
        </w:rPr>
        <w:t>achevée</w:t>
      </w:r>
      <w:r w:rsidR="00B564B7" w:rsidRPr="005D3CD5">
        <w:rPr>
          <w:rFonts w:eastAsia="Times New Roman"/>
          <w:lang w:val="fr-FR"/>
        </w:rPr>
        <w:t>.</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12</w:t>
      </w:r>
      <w:r w:rsidRPr="005D3CD5">
        <w:rPr>
          <w:rFonts w:eastAsia="Times New Roman"/>
          <w:lang w:val="fr-FR"/>
        </w:rPr>
        <w:fldChar w:fldCharType="end"/>
      </w:r>
      <w:r w:rsidRPr="005D3CD5">
        <w:rPr>
          <w:rFonts w:eastAsia="Times New Roman"/>
          <w:lang w:val="fr-FR"/>
        </w:rPr>
        <w:t>.  Les requérants reçurent la notification de la décision de prolongation</w:t>
      </w:r>
      <w:r w:rsidR="00C700D9" w:rsidRPr="005D3CD5">
        <w:rPr>
          <w:rFonts w:eastAsia="Times New Roman"/>
          <w:lang w:val="fr-FR"/>
        </w:rPr>
        <w:t>,</w:t>
      </w:r>
      <w:r w:rsidRPr="005D3CD5">
        <w:rPr>
          <w:rFonts w:eastAsia="Times New Roman"/>
          <w:lang w:val="fr-FR"/>
        </w:rPr>
        <w:t xml:space="preserve"> qui </w:t>
      </w:r>
      <w:r w:rsidR="00B564B7" w:rsidRPr="005D3CD5">
        <w:rPr>
          <w:rFonts w:eastAsia="Times New Roman"/>
          <w:lang w:val="fr-FR"/>
        </w:rPr>
        <w:t>se lisait ainsi</w:t>
      </w:r>
      <w:r w:rsidRPr="005D3CD5">
        <w:rPr>
          <w:rFonts w:eastAsia="Times New Roman"/>
          <w:lang w:val="fr-FR"/>
        </w:rPr>
        <w:t> :</w:t>
      </w:r>
    </w:p>
    <w:p w:rsidR="009F210B" w:rsidRPr="005D3CD5" w:rsidRDefault="00996C8A" w:rsidP="005D3CD5">
      <w:pPr>
        <w:pStyle w:val="ECHRParaQuote"/>
        <w:spacing w:after="0"/>
        <w:ind w:firstLine="0"/>
        <w:rPr>
          <w:rFonts w:eastAsia="Times New Roman"/>
          <w:lang w:val="fr-FR"/>
        </w:rPr>
      </w:pPr>
      <w:r w:rsidRPr="005D3CD5">
        <w:rPr>
          <w:rFonts w:eastAsia="Times New Roman"/>
          <w:lang w:val="fr-FR"/>
        </w:rPr>
        <w:t xml:space="preserve">« Après avoir lu la requête formulée par le </w:t>
      </w:r>
      <w:r w:rsidR="00C700D9" w:rsidRPr="005D3CD5">
        <w:rPr>
          <w:rFonts w:eastAsia="Times New Roman"/>
          <w:lang w:val="fr-FR"/>
        </w:rPr>
        <w:t>p</w:t>
      </w:r>
      <w:r w:rsidRPr="005D3CD5">
        <w:rPr>
          <w:rFonts w:eastAsia="Times New Roman"/>
          <w:lang w:val="fr-FR"/>
        </w:rPr>
        <w:t xml:space="preserve">réfet de </w:t>
      </w:r>
      <w:r w:rsidR="006940DD" w:rsidRPr="005D3CD5">
        <w:rPr>
          <w:rFonts w:eastAsia="Times New Roman"/>
          <w:lang w:val="fr-FR"/>
        </w:rPr>
        <w:t>p</w:t>
      </w:r>
      <w:r w:rsidRPr="005D3CD5">
        <w:rPr>
          <w:rFonts w:eastAsia="Times New Roman"/>
          <w:lang w:val="fr-FR"/>
        </w:rPr>
        <w:t>olice de Rome, concernant la prolongation d</w:t>
      </w:r>
      <w:r w:rsidR="00827D04" w:rsidRPr="005D3CD5">
        <w:rPr>
          <w:rFonts w:eastAsia="Times New Roman"/>
          <w:lang w:val="fr-FR"/>
        </w:rPr>
        <w:t>e la période visée</w:t>
      </w:r>
      <w:r w:rsidRPr="005D3CD5">
        <w:rPr>
          <w:rFonts w:eastAsia="Times New Roman"/>
          <w:lang w:val="fr-FR"/>
        </w:rPr>
        <w:t xml:space="preserve"> à l</w:t>
      </w:r>
      <w:r w:rsidR="005D3CD5" w:rsidRPr="005D3CD5">
        <w:rPr>
          <w:rFonts w:eastAsia="Times New Roman"/>
          <w:lang w:val="fr-FR"/>
        </w:rPr>
        <w:t>’</w:t>
      </w:r>
      <w:r w:rsidRPr="005D3CD5">
        <w:rPr>
          <w:rFonts w:eastAsia="Times New Roman"/>
          <w:lang w:val="fr-FR"/>
        </w:rPr>
        <w:t>article 14 alinéa 5 du décret législatif n</w:t>
      </w:r>
      <w:r w:rsidR="00B504CC" w:rsidRPr="005D3CD5">
        <w:rPr>
          <w:rFonts w:eastAsia="Times New Roman"/>
          <w:vertAlign w:val="superscript"/>
          <w:lang w:val="fr-FR"/>
        </w:rPr>
        <w:t>o</w:t>
      </w:r>
      <w:r w:rsidRPr="005D3CD5">
        <w:rPr>
          <w:rFonts w:eastAsia="Times New Roman"/>
          <w:lang w:val="fr-FR"/>
        </w:rPr>
        <w:t xml:space="preserve">286 de </w:t>
      </w:r>
      <w:r w:rsidR="00AD63F3" w:rsidRPr="005D3CD5">
        <w:rPr>
          <w:rFonts w:eastAsia="Times New Roman"/>
          <w:lang w:val="fr-FR"/>
        </w:rPr>
        <w:t>1998</w:t>
      </w:r>
      <w:r w:rsidRPr="005D3CD5">
        <w:rPr>
          <w:rFonts w:eastAsia="Times New Roman"/>
          <w:lang w:val="fr-FR"/>
        </w:rPr>
        <w:t>, modifié par la loi 189 de 2002, considérant que les éléments requis à cette fin existent</w:t>
      </w:r>
      <w:r w:rsidR="00722512" w:rsidRPr="005D3CD5">
        <w:rPr>
          <w:rFonts w:eastAsia="Times New Roman"/>
          <w:lang w:val="fr-FR"/>
        </w:rPr>
        <w:t xml:space="preserve"> et que</w:t>
      </w:r>
      <w:r w:rsidRPr="005D3CD5">
        <w:rPr>
          <w:rFonts w:eastAsia="Times New Roman"/>
          <w:lang w:val="fr-FR"/>
        </w:rPr>
        <w:t xml:space="preserve"> les vérifications </w:t>
      </w:r>
      <w:r w:rsidR="00722512" w:rsidRPr="005D3CD5">
        <w:rPr>
          <w:rFonts w:eastAsia="Times New Roman"/>
          <w:lang w:val="fr-FR"/>
        </w:rPr>
        <w:t>concernant</w:t>
      </w:r>
      <w:r w:rsidRPr="005D3CD5">
        <w:rPr>
          <w:rFonts w:eastAsia="Times New Roman"/>
          <w:lang w:val="fr-FR"/>
        </w:rPr>
        <w:t xml:space="preserve"> le ressortissant étranger</w:t>
      </w:r>
      <w:r w:rsidR="00722512" w:rsidRPr="005D3CD5">
        <w:rPr>
          <w:rFonts w:eastAsia="Times New Roman"/>
          <w:lang w:val="fr-FR"/>
        </w:rPr>
        <w:t xml:space="preserve"> sont encore en cours, </w:t>
      </w:r>
      <w:r w:rsidR="007F263F" w:rsidRPr="005D3CD5">
        <w:rPr>
          <w:rFonts w:eastAsia="Times New Roman"/>
          <w:lang w:val="fr-FR"/>
        </w:rPr>
        <w:t xml:space="preserve">le juge de paix </w:t>
      </w:r>
      <w:r w:rsidRPr="005D3CD5">
        <w:rPr>
          <w:rFonts w:eastAsia="Times New Roman"/>
          <w:lang w:val="fr-FR"/>
        </w:rPr>
        <w:t xml:space="preserve">proroge le placement dans le centre de rétention pour </w:t>
      </w:r>
      <w:r w:rsidR="00827D04" w:rsidRPr="005D3CD5">
        <w:rPr>
          <w:rFonts w:eastAsia="Times New Roman"/>
          <w:lang w:val="fr-FR"/>
        </w:rPr>
        <w:t>une</w:t>
      </w:r>
      <w:r w:rsidRPr="005D3CD5">
        <w:rPr>
          <w:rFonts w:eastAsia="Times New Roman"/>
          <w:lang w:val="fr-FR"/>
        </w:rPr>
        <w:t xml:space="preserve"> période de </w:t>
      </w:r>
      <w:r w:rsidR="00827D04" w:rsidRPr="005D3CD5">
        <w:rPr>
          <w:rFonts w:eastAsia="Times New Roman"/>
          <w:lang w:val="fr-FR"/>
        </w:rPr>
        <w:t xml:space="preserve">trente </w:t>
      </w:r>
      <w:r w:rsidRPr="005D3CD5">
        <w:rPr>
          <w:rFonts w:eastAsia="Times New Roman"/>
          <w:lang w:val="fr-FR"/>
        </w:rPr>
        <w:t>jours.</w:t>
      </w:r>
    </w:p>
    <w:p w:rsidR="009F210B" w:rsidRPr="005D3CD5" w:rsidRDefault="00996C8A" w:rsidP="005D3CD5">
      <w:pPr>
        <w:pStyle w:val="ECHRParaQuote"/>
        <w:spacing w:before="0"/>
        <w:ind w:firstLine="0"/>
        <w:rPr>
          <w:rFonts w:eastAsia="Times New Roman"/>
          <w:lang w:val="fr-FR"/>
        </w:rPr>
      </w:pPr>
      <w:r w:rsidRPr="005D3CD5">
        <w:rPr>
          <w:rFonts w:eastAsia="Times New Roman"/>
          <w:lang w:val="fr-FR"/>
        </w:rPr>
        <w:t>J</w:t>
      </w:r>
      <w:r w:rsidR="005D3CD5" w:rsidRPr="005D3CD5">
        <w:rPr>
          <w:rFonts w:eastAsia="Times New Roman"/>
          <w:lang w:val="fr-FR"/>
        </w:rPr>
        <w:t>’</w:t>
      </w:r>
      <w:r w:rsidRPr="005D3CD5">
        <w:rPr>
          <w:rFonts w:eastAsia="Times New Roman"/>
          <w:lang w:val="fr-FR"/>
        </w:rPr>
        <w:t xml:space="preserve">ai lu et signé la mesure </w:t>
      </w:r>
      <w:r w:rsidR="00435C7E" w:rsidRPr="005D3CD5">
        <w:rPr>
          <w:rFonts w:eastAsia="Times New Roman"/>
          <w:lang w:val="fr-FR"/>
        </w:rPr>
        <w:t>adoptée</w:t>
      </w:r>
      <w:r w:rsidRPr="005D3CD5">
        <w:rPr>
          <w:rFonts w:eastAsia="Times New Roman"/>
          <w:lang w:val="fr-FR"/>
        </w:rPr>
        <w:t xml:space="preserve"> à mon égard et j</w:t>
      </w:r>
      <w:r w:rsidR="005D3CD5" w:rsidRPr="005D3CD5">
        <w:rPr>
          <w:rFonts w:eastAsia="Times New Roman"/>
          <w:lang w:val="fr-FR"/>
        </w:rPr>
        <w:t>’</w:t>
      </w:r>
      <w:r w:rsidR="0049772E" w:rsidRPr="005D3CD5">
        <w:rPr>
          <w:rFonts w:eastAsia="Times New Roman"/>
          <w:lang w:val="fr-FR"/>
        </w:rPr>
        <w:t>ai reçu</w:t>
      </w:r>
      <w:r w:rsidRPr="005D3CD5">
        <w:rPr>
          <w:rFonts w:eastAsia="Times New Roman"/>
          <w:lang w:val="fr-FR"/>
        </w:rPr>
        <w:t xml:space="preserve"> une copie de </w:t>
      </w:r>
      <w:r w:rsidR="00A714B0" w:rsidRPr="005D3CD5">
        <w:rPr>
          <w:rFonts w:eastAsia="Times New Roman"/>
          <w:lang w:val="fr-FR"/>
        </w:rPr>
        <w:t xml:space="preserve">ce </w:t>
      </w:r>
      <w:r w:rsidRPr="005D3CD5">
        <w:rPr>
          <w:rFonts w:eastAsia="Times New Roman"/>
          <w:lang w:val="fr-FR"/>
        </w:rPr>
        <w:t xml:space="preserve">document traduit en </w:t>
      </w:r>
      <w:r w:rsidR="005D3CD5" w:rsidRPr="005D3CD5">
        <w:rPr>
          <w:rFonts w:eastAsia="Times New Roman"/>
          <w:lang w:val="fr-FR"/>
        </w:rPr>
        <w:t>anglais, français et espagnol. »</w:t>
      </w:r>
    </w:p>
    <w:p w:rsidR="00722512"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13</w:t>
      </w:r>
      <w:r w:rsidRPr="005D3CD5">
        <w:rPr>
          <w:rFonts w:eastAsia="Times New Roman"/>
          <w:lang w:val="fr-FR"/>
        </w:rPr>
        <w:fldChar w:fldCharType="end"/>
      </w:r>
      <w:r w:rsidRPr="005D3CD5">
        <w:rPr>
          <w:rFonts w:eastAsia="Times New Roman"/>
          <w:lang w:val="fr-FR"/>
        </w:rPr>
        <w:t xml:space="preserve">.  Le </w:t>
      </w:r>
      <w:r w:rsidR="00722512" w:rsidRPr="005D3CD5">
        <w:rPr>
          <w:rFonts w:eastAsia="Times New Roman"/>
          <w:lang w:val="fr-FR"/>
        </w:rPr>
        <w:t>14 janvier 2009, les requérants furent libérés en raison de</w:t>
      </w:r>
      <w:r w:rsidR="00372E8A" w:rsidRPr="005D3CD5">
        <w:rPr>
          <w:rFonts w:eastAsia="Times New Roman"/>
          <w:lang w:val="fr-FR"/>
        </w:rPr>
        <w:t xml:space="preserve"> l</w:t>
      </w:r>
      <w:r w:rsidR="005D3CD5" w:rsidRPr="005D3CD5">
        <w:rPr>
          <w:rFonts w:eastAsia="Times New Roman"/>
          <w:lang w:val="fr-FR"/>
        </w:rPr>
        <w:t>’</w:t>
      </w:r>
      <w:r w:rsidR="00372E8A" w:rsidRPr="005D3CD5">
        <w:rPr>
          <w:rFonts w:eastAsia="Times New Roman"/>
          <w:lang w:val="fr-FR"/>
        </w:rPr>
        <w:t>introduction de</w:t>
      </w:r>
      <w:r w:rsidR="00722512" w:rsidRPr="005D3CD5">
        <w:rPr>
          <w:rFonts w:eastAsia="Times New Roman"/>
          <w:lang w:val="fr-FR"/>
        </w:rPr>
        <w:t xml:space="preserve"> leur demande de protection internationale.</w:t>
      </w:r>
    </w:p>
    <w:p w:rsidR="00996C8A" w:rsidRPr="005D3CD5" w:rsidRDefault="00722512" w:rsidP="005D3CD5">
      <w:pPr>
        <w:pStyle w:val="ECHRPara"/>
        <w:rPr>
          <w:rFonts w:eastAsia="Times New Roman"/>
          <w:lang w:val="fr-FR"/>
        </w:rPr>
      </w:pPr>
      <w:r w:rsidRPr="005D3CD5">
        <w:rPr>
          <w:rFonts w:eastAsia="Times New Roman"/>
          <w:lang w:val="fr-FR"/>
        </w:rPr>
        <w:t xml:space="preserve">Le </w:t>
      </w:r>
      <w:r w:rsidR="00996C8A" w:rsidRPr="005D3CD5">
        <w:rPr>
          <w:rFonts w:eastAsia="Times New Roman"/>
          <w:lang w:val="fr-FR"/>
        </w:rPr>
        <w:t xml:space="preserve">23 janvier 2009, </w:t>
      </w:r>
      <w:r w:rsidRPr="005D3CD5">
        <w:rPr>
          <w:rFonts w:eastAsia="Times New Roman"/>
          <w:lang w:val="fr-FR"/>
        </w:rPr>
        <w:t>ils</w:t>
      </w:r>
      <w:r w:rsidR="00996C8A" w:rsidRPr="005D3CD5">
        <w:rPr>
          <w:rFonts w:eastAsia="Times New Roman"/>
          <w:lang w:val="fr-FR"/>
        </w:rPr>
        <w:t xml:space="preserve"> furent convoqués </w:t>
      </w:r>
      <w:r w:rsidR="00A714B0" w:rsidRPr="005D3CD5">
        <w:rPr>
          <w:rFonts w:eastAsia="Times New Roman"/>
          <w:lang w:val="fr-FR"/>
        </w:rPr>
        <w:t>devant</w:t>
      </w:r>
      <w:r w:rsidR="00996C8A" w:rsidRPr="005D3CD5">
        <w:rPr>
          <w:rFonts w:eastAsia="Times New Roman"/>
          <w:lang w:val="fr-FR"/>
        </w:rPr>
        <w:t xml:space="preserve"> le </w:t>
      </w:r>
      <w:r w:rsidR="00B564B7" w:rsidRPr="005D3CD5">
        <w:rPr>
          <w:rFonts w:eastAsia="Times New Roman"/>
          <w:lang w:val="fr-FR"/>
        </w:rPr>
        <w:t xml:space="preserve">chef de la </w:t>
      </w:r>
      <w:r w:rsidR="00996C8A" w:rsidRPr="005D3CD5">
        <w:rPr>
          <w:rFonts w:eastAsia="Times New Roman"/>
          <w:lang w:val="fr-FR"/>
        </w:rPr>
        <w:t xml:space="preserve">police pour formaliser </w:t>
      </w:r>
      <w:r w:rsidRPr="005D3CD5">
        <w:rPr>
          <w:rFonts w:eastAsia="Times New Roman"/>
          <w:lang w:val="fr-FR"/>
        </w:rPr>
        <w:t>ladite</w:t>
      </w:r>
      <w:r w:rsidR="00996C8A" w:rsidRPr="005D3CD5">
        <w:rPr>
          <w:rFonts w:eastAsia="Times New Roman"/>
          <w:lang w:val="fr-FR"/>
        </w:rPr>
        <w:t xml:space="preserve"> </w:t>
      </w:r>
      <w:r w:rsidR="00A714B0" w:rsidRPr="005D3CD5">
        <w:rPr>
          <w:rFonts w:eastAsia="Times New Roman"/>
          <w:lang w:val="fr-FR"/>
        </w:rPr>
        <w:t>demande</w:t>
      </w:r>
      <w:r w:rsidR="00996C8A" w:rsidRPr="005D3CD5">
        <w:rPr>
          <w:rFonts w:eastAsia="Times New Roman"/>
          <w:lang w:val="fr-FR"/>
        </w:rPr>
        <w:t xml:space="preserve"> et l</w:t>
      </w:r>
      <w:r w:rsidR="005D3CD5" w:rsidRPr="005D3CD5">
        <w:rPr>
          <w:rFonts w:eastAsia="Times New Roman"/>
          <w:lang w:val="fr-FR"/>
        </w:rPr>
        <w:t>’</w:t>
      </w:r>
      <w:r w:rsidR="00996C8A" w:rsidRPr="005D3CD5">
        <w:rPr>
          <w:rFonts w:eastAsia="Times New Roman"/>
          <w:lang w:val="fr-FR"/>
        </w:rPr>
        <w:t xml:space="preserve">audience devant la commission </w:t>
      </w:r>
      <w:r w:rsidR="00ED02F4" w:rsidRPr="005D3CD5">
        <w:rPr>
          <w:rFonts w:eastAsia="Times New Roman"/>
          <w:lang w:val="fr-FR"/>
        </w:rPr>
        <w:t>pour l</w:t>
      </w:r>
      <w:r w:rsidR="005D3CD5" w:rsidRPr="005D3CD5">
        <w:rPr>
          <w:rFonts w:eastAsia="Times New Roman"/>
          <w:lang w:val="fr-FR"/>
        </w:rPr>
        <w:t>’</w:t>
      </w:r>
      <w:r w:rsidR="00ED02F4" w:rsidRPr="005D3CD5">
        <w:rPr>
          <w:rFonts w:eastAsia="Times New Roman"/>
          <w:lang w:val="fr-FR"/>
        </w:rPr>
        <w:t xml:space="preserve">octroi du statut de réfugié </w:t>
      </w:r>
      <w:r w:rsidR="00996C8A" w:rsidRPr="005D3CD5">
        <w:rPr>
          <w:rFonts w:eastAsia="Times New Roman"/>
          <w:lang w:val="fr-FR"/>
        </w:rPr>
        <w:t>fut fixée au 19 mars 2009.</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14</w:t>
      </w:r>
      <w:r w:rsidRPr="005D3CD5">
        <w:rPr>
          <w:rFonts w:eastAsia="Times New Roman"/>
          <w:lang w:val="fr-FR"/>
        </w:rPr>
        <w:fldChar w:fldCharType="end"/>
      </w:r>
      <w:r w:rsidRPr="005D3CD5">
        <w:rPr>
          <w:rFonts w:eastAsia="Times New Roman"/>
          <w:lang w:val="fr-FR"/>
        </w:rPr>
        <w:t>.  Le 16 février 2009, les requérants saisirent la Cour de cassation d</w:t>
      </w:r>
      <w:r w:rsidR="005D3CD5" w:rsidRPr="005D3CD5">
        <w:rPr>
          <w:rFonts w:eastAsia="Times New Roman"/>
          <w:lang w:val="fr-FR"/>
        </w:rPr>
        <w:t>’</w:t>
      </w:r>
      <w:r w:rsidRPr="005D3CD5">
        <w:rPr>
          <w:rFonts w:eastAsia="Times New Roman"/>
          <w:lang w:val="fr-FR"/>
        </w:rPr>
        <w:t xml:space="preserve">un recours visant à </w:t>
      </w:r>
      <w:r w:rsidR="00A714B0" w:rsidRPr="005D3CD5">
        <w:rPr>
          <w:rFonts w:eastAsia="Times New Roman"/>
          <w:lang w:val="fr-FR"/>
        </w:rPr>
        <w:t>l</w:t>
      </w:r>
      <w:r w:rsidR="005D3CD5" w:rsidRPr="005D3CD5">
        <w:rPr>
          <w:rFonts w:eastAsia="Times New Roman"/>
          <w:lang w:val="fr-FR"/>
        </w:rPr>
        <w:t>’</w:t>
      </w:r>
      <w:r w:rsidRPr="005D3CD5">
        <w:rPr>
          <w:rFonts w:eastAsia="Times New Roman"/>
          <w:lang w:val="fr-FR"/>
        </w:rPr>
        <w:t>annul</w:t>
      </w:r>
      <w:r w:rsidR="00A714B0" w:rsidRPr="005D3CD5">
        <w:rPr>
          <w:rFonts w:eastAsia="Times New Roman"/>
          <w:lang w:val="fr-FR"/>
        </w:rPr>
        <w:t>ation de</w:t>
      </w:r>
      <w:r w:rsidRPr="005D3CD5">
        <w:rPr>
          <w:rFonts w:eastAsia="Times New Roman"/>
          <w:lang w:val="fr-FR"/>
        </w:rPr>
        <w:t xml:space="preserve"> la décision du juge de paix </w:t>
      </w:r>
      <w:r w:rsidR="00A714B0" w:rsidRPr="005D3CD5">
        <w:rPr>
          <w:rFonts w:eastAsia="Times New Roman"/>
          <w:lang w:val="fr-FR"/>
        </w:rPr>
        <w:t xml:space="preserve">de Rome </w:t>
      </w:r>
      <w:r w:rsidR="005D3CD5" w:rsidRPr="005D3CD5">
        <w:rPr>
          <w:rFonts w:eastAsia="Times New Roman"/>
          <w:lang w:val="fr-FR"/>
        </w:rPr>
        <w:t xml:space="preserve">du 17 décembre </w:t>
      </w:r>
      <w:r w:rsidRPr="005D3CD5">
        <w:rPr>
          <w:rFonts w:eastAsia="Times New Roman"/>
          <w:lang w:val="fr-FR"/>
        </w:rPr>
        <w:t>2008.</w:t>
      </w:r>
    </w:p>
    <w:p w:rsidR="00996C8A" w:rsidRPr="005D3CD5" w:rsidRDefault="00996C8A" w:rsidP="005D3CD5">
      <w:pPr>
        <w:pStyle w:val="ECHRPara"/>
        <w:rPr>
          <w:rFonts w:eastAsia="Times New Roman"/>
          <w:lang w:val="fr-FR"/>
        </w:rPr>
      </w:pPr>
      <w:r w:rsidRPr="005D3CD5">
        <w:rPr>
          <w:rFonts w:eastAsia="Times New Roman"/>
          <w:lang w:val="fr-FR"/>
        </w:rPr>
        <w:lastRenderedPageBreak/>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15</w:t>
      </w:r>
      <w:r w:rsidRPr="005D3CD5">
        <w:rPr>
          <w:rFonts w:eastAsia="Times New Roman"/>
          <w:lang w:val="fr-FR"/>
        </w:rPr>
        <w:fldChar w:fldCharType="end"/>
      </w:r>
      <w:r w:rsidRPr="005D3CD5">
        <w:rPr>
          <w:rFonts w:eastAsia="Times New Roman"/>
          <w:lang w:val="fr-FR"/>
        </w:rPr>
        <w:t>.  Le 5 juin 2009, le juge de paix de Caserte annula le</w:t>
      </w:r>
      <w:r w:rsidR="000A2EDE" w:rsidRPr="005D3CD5">
        <w:rPr>
          <w:rFonts w:eastAsia="Times New Roman"/>
          <w:lang w:val="fr-FR"/>
        </w:rPr>
        <w:t>s</w:t>
      </w:r>
      <w:r w:rsidRPr="005D3CD5">
        <w:rPr>
          <w:rFonts w:eastAsia="Times New Roman"/>
          <w:lang w:val="fr-FR"/>
        </w:rPr>
        <w:t xml:space="preserve"> décret</w:t>
      </w:r>
      <w:r w:rsidR="000A2EDE" w:rsidRPr="005D3CD5">
        <w:rPr>
          <w:rFonts w:eastAsia="Times New Roman"/>
          <w:lang w:val="fr-FR"/>
        </w:rPr>
        <w:t>s</w:t>
      </w:r>
      <w:r w:rsidRPr="005D3CD5">
        <w:rPr>
          <w:rFonts w:eastAsia="Times New Roman"/>
          <w:lang w:val="fr-FR"/>
        </w:rPr>
        <w:t xml:space="preserve"> d</w:t>
      </w:r>
      <w:r w:rsidR="005D3CD5" w:rsidRPr="005D3CD5">
        <w:rPr>
          <w:rFonts w:eastAsia="Times New Roman"/>
          <w:lang w:val="fr-FR"/>
        </w:rPr>
        <w:t>’</w:t>
      </w:r>
      <w:r w:rsidRPr="005D3CD5">
        <w:rPr>
          <w:rFonts w:eastAsia="Times New Roman"/>
          <w:lang w:val="fr-FR"/>
        </w:rPr>
        <w:t>expulsion.</w:t>
      </w:r>
    </w:p>
    <w:p w:rsidR="00CE3BC6"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16</w:t>
      </w:r>
      <w:r w:rsidRPr="005D3CD5">
        <w:rPr>
          <w:rFonts w:eastAsia="Times New Roman"/>
          <w:lang w:val="fr-FR"/>
        </w:rPr>
        <w:fldChar w:fldCharType="end"/>
      </w:r>
      <w:r w:rsidRPr="005D3CD5">
        <w:rPr>
          <w:rFonts w:eastAsia="Times New Roman"/>
          <w:lang w:val="fr-FR"/>
        </w:rPr>
        <w:t xml:space="preserve">.  Par un arrêt du 8 juin 2010, la Cour de cassation accueillit le pourvoi des requérants, </w:t>
      </w:r>
      <w:r w:rsidR="003E26FB" w:rsidRPr="005D3CD5">
        <w:rPr>
          <w:rFonts w:eastAsia="Times New Roman"/>
          <w:lang w:val="fr-FR"/>
        </w:rPr>
        <w:t>cassa</w:t>
      </w:r>
      <w:r w:rsidRPr="005D3CD5">
        <w:rPr>
          <w:rFonts w:eastAsia="Times New Roman"/>
          <w:lang w:val="fr-FR"/>
        </w:rPr>
        <w:t xml:space="preserve"> la décision du juge de paix</w:t>
      </w:r>
      <w:r w:rsidR="00B564B7" w:rsidRPr="005D3CD5">
        <w:rPr>
          <w:rFonts w:eastAsia="Times New Roman"/>
          <w:lang w:val="fr-FR"/>
        </w:rPr>
        <w:t xml:space="preserve"> </w:t>
      </w:r>
      <w:r w:rsidR="00A714B0" w:rsidRPr="005D3CD5">
        <w:rPr>
          <w:rFonts w:eastAsia="Times New Roman"/>
          <w:lang w:val="fr-FR"/>
        </w:rPr>
        <w:t xml:space="preserve">de Rome </w:t>
      </w:r>
      <w:r w:rsidR="00B564B7" w:rsidRPr="005D3CD5">
        <w:rPr>
          <w:rFonts w:eastAsia="Times New Roman"/>
          <w:lang w:val="fr-FR"/>
        </w:rPr>
        <w:t>et</w:t>
      </w:r>
      <w:r w:rsidRPr="005D3CD5">
        <w:rPr>
          <w:rFonts w:eastAsia="Times New Roman"/>
          <w:lang w:val="fr-FR"/>
        </w:rPr>
        <w:t xml:space="preserve"> </w:t>
      </w:r>
      <w:r w:rsidR="003E26FB" w:rsidRPr="005D3CD5">
        <w:rPr>
          <w:rFonts w:eastAsia="Times New Roman"/>
          <w:lang w:val="fr-FR"/>
        </w:rPr>
        <w:t xml:space="preserve">déclara </w:t>
      </w:r>
      <w:r w:rsidR="00B659BC" w:rsidRPr="005D3CD5">
        <w:rPr>
          <w:rFonts w:eastAsia="Times New Roman"/>
          <w:lang w:val="fr-FR"/>
        </w:rPr>
        <w:t>nulle</w:t>
      </w:r>
      <w:r w:rsidR="003E26FB" w:rsidRPr="005D3CD5">
        <w:rPr>
          <w:rFonts w:eastAsia="Times New Roman"/>
          <w:lang w:val="fr-FR"/>
        </w:rPr>
        <w:t xml:space="preserve"> la décision de placement en rétention </w:t>
      </w:r>
      <w:r w:rsidR="001B6771" w:rsidRPr="005D3CD5">
        <w:rPr>
          <w:rFonts w:eastAsia="Times New Roman"/>
          <w:lang w:val="fr-FR"/>
        </w:rPr>
        <w:t>au motif qu</w:t>
      </w:r>
      <w:r w:rsidR="005D3CD5" w:rsidRPr="005D3CD5">
        <w:rPr>
          <w:rFonts w:eastAsia="Times New Roman"/>
          <w:lang w:val="fr-FR"/>
        </w:rPr>
        <w:t>’</w:t>
      </w:r>
      <w:r w:rsidR="000A2EDE" w:rsidRPr="005D3CD5">
        <w:rPr>
          <w:rFonts w:eastAsia="Times New Roman"/>
          <w:lang w:val="fr-FR"/>
        </w:rPr>
        <w:t xml:space="preserve">elle avait été adoptée </w:t>
      </w:r>
      <w:r w:rsidR="000A2EDE" w:rsidRPr="005D3CD5">
        <w:rPr>
          <w:rFonts w:eastAsia="Times New Roman"/>
          <w:i/>
          <w:lang w:val="fr-FR"/>
        </w:rPr>
        <w:t>de plano</w:t>
      </w:r>
      <w:r w:rsidR="00712BEB" w:rsidRPr="005D3CD5">
        <w:rPr>
          <w:rFonts w:eastAsia="Times New Roman"/>
          <w:lang w:val="fr-FR"/>
        </w:rPr>
        <w:t>,</w:t>
      </w:r>
      <w:r w:rsidR="00712BEB" w:rsidRPr="005D3CD5">
        <w:rPr>
          <w:rFonts w:eastAsia="Times New Roman"/>
          <w:i/>
          <w:lang w:val="fr-FR"/>
        </w:rPr>
        <w:t xml:space="preserve"> s</w:t>
      </w:r>
      <w:r w:rsidR="000A2EDE" w:rsidRPr="005D3CD5">
        <w:rPr>
          <w:rFonts w:eastAsia="Times New Roman"/>
          <w:lang w:val="fr-FR"/>
        </w:rPr>
        <w:t xml:space="preserve">ans </w:t>
      </w:r>
      <w:r w:rsidRPr="005D3CD5">
        <w:rPr>
          <w:rFonts w:eastAsia="Times New Roman"/>
          <w:lang w:val="fr-FR"/>
        </w:rPr>
        <w:t xml:space="preserve">audience </w:t>
      </w:r>
      <w:r w:rsidR="000A2EDE" w:rsidRPr="005D3CD5">
        <w:rPr>
          <w:rFonts w:eastAsia="Times New Roman"/>
          <w:lang w:val="fr-FR"/>
        </w:rPr>
        <w:t xml:space="preserve">et sans la participation des requérants </w:t>
      </w:r>
      <w:r w:rsidR="00EC21DC" w:rsidRPr="005D3CD5">
        <w:rPr>
          <w:rFonts w:eastAsia="Times New Roman"/>
          <w:lang w:val="fr-FR"/>
        </w:rPr>
        <w:t>et de</w:t>
      </w:r>
      <w:r w:rsidR="000A2EDE" w:rsidRPr="005D3CD5">
        <w:rPr>
          <w:rFonts w:eastAsia="Times New Roman"/>
          <w:lang w:val="fr-FR"/>
        </w:rPr>
        <w:t xml:space="preserve"> leur avocat.</w:t>
      </w:r>
      <w:r w:rsidR="00670445" w:rsidRPr="005D3CD5">
        <w:rPr>
          <w:rFonts w:eastAsia="Times New Roman"/>
          <w:lang w:val="fr-FR"/>
        </w:rPr>
        <w:t xml:space="preserve"> </w:t>
      </w:r>
      <w:r w:rsidR="00915E31" w:rsidRPr="005D3CD5">
        <w:rPr>
          <w:rFonts w:eastAsia="Times New Roman"/>
          <w:lang w:val="fr-FR"/>
        </w:rPr>
        <w:t>Dans</w:t>
      </w:r>
      <w:r w:rsidR="00670445" w:rsidRPr="005D3CD5">
        <w:rPr>
          <w:rFonts w:eastAsia="Times New Roman"/>
          <w:lang w:val="fr-FR"/>
        </w:rPr>
        <w:t xml:space="preserve"> sa </w:t>
      </w:r>
      <w:r w:rsidR="007F263F" w:rsidRPr="005D3CD5">
        <w:rPr>
          <w:rFonts w:eastAsia="Times New Roman"/>
          <w:lang w:val="fr-FR"/>
        </w:rPr>
        <w:t>décision,</w:t>
      </w:r>
      <w:r w:rsidR="00670445" w:rsidRPr="005D3CD5">
        <w:rPr>
          <w:rFonts w:eastAsia="Times New Roman"/>
          <w:lang w:val="fr-FR"/>
        </w:rPr>
        <w:t xml:space="preserve"> la </w:t>
      </w:r>
      <w:r w:rsidR="00EC21DC" w:rsidRPr="005D3CD5">
        <w:rPr>
          <w:rFonts w:eastAsia="Times New Roman"/>
          <w:lang w:val="fr-FR"/>
        </w:rPr>
        <w:t>h</w:t>
      </w:r>
      <w:r w:rsidR="00670445" w:rsidRPr="005D3CD5">
        <w:rPr>
          <w:rFonts w:eastAsia="Times New Roman"/>
          <w:lang w:val="fr-FR"/>
        </w:rPr>
        <w:t>aute juridiction rappela</w:t>
      </w:r>
      <w:r w:rsidR="00EC21DC" w:rsidRPr="005D3CD5">
        <w:rPr>
          <w:rFonts w:eastAsia="Times New Roman"/>
          <w:lang w:val="fr-FR"/>
        </w:rPr>
        <w:t>it</w:t>
      </w:r>
      <w:r w:rsidR="00CE3BC6" w:rsidRPr="005D3CD5">
        <w:rPr>
          <w:rFonts w:eastAsia="Times New Roman"/>
          <w:lang w:val="fr-FR"/>
        </w:rPr>
        <w:t xml:space="preserve"> </w:t>
      </w:r>
      <w:r w:rsidR="006940DD" w:rsidRPr="005D3CD5">
        <w:rPr>
          <w:rFonts w:eastAsia="Times New Roman"/>
          <w:lang w:val="fr-FR"/>
        </w:rPr>
        <w:t>qu</w:t>
      </w:r>
      <w:r w:rsidR="005D3CD5" w:rsidRPr="005D3CD5">
        <w:rPr>
          <w:rFonts w:eastAsia="Times New Roman"/>
          <w:lang w:val="fr-FR"/>
        </w:rPr>
        <w:t>’</w:t>
      </w:r>
      <w:r w:rsidR="006940DD" w:rsidRPr="005D3CD5">
        <w:rPr>
          <w:rFonts w:eastAsia="Times New Roman"/>
          <w:lang w:val="fr-FR"/>
        </w:rPr>
        <w:t xml:space="preserve">elle </w:t>
      </w:r>
      <w:r w:rsidR="00CE3BC6" w:rsidRPr="005D3CD5">
        <w:rPr>
          <w:rFonts w:eastAsia="Times New Roman"/>
          <w:lang w:val="fr-FR"/>
        </w:rPr>
        <w:t xml:space="preserve">avait déjà affirmé </w:t>
      </w:r>
      <w:r w:rsidR="00EC21DC" w:rsidRPr="005D3CD5">
        <w:rPr>
          <w:rFonts w:eastAsia="Times New Roman"/>
          <w:lang w:val="fr-FR"/>
        </w:rPr>
        <w:t xml:space="preserve">en 2010 </w:t>
      </w:r>
      <w:r w:rsidR="00CE3BC6" w:rsidRPr="005D3CD5">
        <w:rPr>
          <w:rFonts w:eastAsia="Times New Roman"/>
          <w:lang w:val="fr-FR"/>
        </w:rPr>
        <w:t xml:space="preserve">que les principes fixés </w:t>
      </w:r>
      <w:r w:rsidR="00372E8A" w:rsidRPr="005D3CD5">
        <w:rPr>
          <w:rFonts w:eastAsia="Times New Roman"/>
          <w:lang w:val="fr-FR"/>
        </w:rPr>
        <w:t xml:space="preserve">à </w:t>
      </w:r>
      <w:r w:rsidR="00CE3BC6" w:rsidRPr="005D3CD5">
        <w:rPr>
          <w:rFonts w:eastAsia="Times New Roman"/>
          <w:lang w:val="fr-FR"/>
        </w:rPr>
        <w:t>l</w:t>
      </w:r>
      <w:r w:rsidR="005D3CD5" w:rsidRPr="005D3CD5">
        <w:rPr>
          <w:rFonts w:eastAsia="Times New Roman"/>
          <w:lang w:val="fr-FR"/>
        </w:rPr>
        <w:t>’</w:t>
      </w:r>
      <w:r w:rsidR="00CE3BC6" w:rsidRPr="005D3CD5">
        <w:rPr>
          <w:rFonts w:eastAsia="Times New Roman"/>
          <w:lang w:val="fr-FR"/>
        </w:rPr>
        <w:t>article 14, alinéa</w:t>
      </w:r>
      <w:r w:rsidR="00EC21DC" w:rsidRPr="005D3CD5">
        <w:rPr>
          <w:rFonts w:eastAsia="Times New Roman"/>
          <w:lang w:val="fr-FR"/>
        </w:rPr>
        <w:t>s</w:t>
      </w:r>
      <w:r w:rsidR="00CE3BC6" w:rsidRPr="005D3CD5">
        <w:rPr>
          <w:rFonts w:eastAsia="Times New Roman"/>
          <w:lang w:val="fr-FR"/>
        </w:rPr>
        <w:t xml:space="preserve"> 5 et 6 du </w:t>
      </w:r>
      <w:r w:rsidR="00C43633" w:rsidRPr="005D3CD5">
        <w:rPr>
          <w:rFonts w:eastAsia="Times New Roman"/>
          <w:bCs/>
          <w:lang w:val="fr-FR"/>
        </w:rPr>
        <w:t>décret-loi n</w:t>
      </w:r>
      <w:r w:rsidR="00C43633" w:rsidRPr="005D3CD5">
        <w:rPr>
          <w:rFonts w:eastAsia="Times New Roman"/>
          <w:bCs/>
          <w:vertAlign w:val="superscript"/>
          <w:lang w:val="fr-FR"/>
        </w:rPr>
        <w:t>o </w:t>
      </w:r>
      <w:r w:rsidR="00C43633" w:rsidRPr="005D3CD5">
        <w:rPr>
          <w:rFonts w:eastAsia="Times New Roman"/>
          <w:bCs/>
          <w:lang w:val="fr-FR"/>
        </w:rPr>
        <w:t xml:space="preserve">286/98 </w:t>
      </w:r>
      <w:r w:rsidR="00CE3BC6" w:rsidRPr="005D3CD5">
        <w:rPr>
          <w:rFonts w:eastAsia="Times New Roman"/>
          <w:lang w:val="fr-FR"/>
        </w:rPr>
        <w:t>s</w:t>
      </w:r>
      <w:r w:rsidR="005D3CD5" w:rsidRPr="005D3CD5">
        <w:rPr>
          <w:rFonts w:eastAsia="Times New Roman"/>
          <w:lang w:val="fr-FR"/>
        </w:rPr>
        <w:t>’</w:t>
      </w:r>
      <w:r w:rsidR="00D53786" w:rsidRPr="005D3CD5">
        <w:rPr>
          <w:rFonts w:eastAsia="Times New Roman"/>
          <w:lang w:val="fr-FR"/>
        </w:rPr>
        <w:t xml:space="preserve">appliquaient </w:t>
      </w:r>
      <w:r w:rsidR="00CE3BC6" w:rsidRPr="005D3CD5">
        <w:rPr>
          <w:rFonts w:eastAsia="Times New Roman"/>
          <w:lang w:val="fr-FR"/>
        </w:rPr>
        <w:t xml:space="preserve">également à la prolongation de la mesure de placement en rétention et que par conséquent la décision du juge de paix </w:t>
      </w:r>
      <w:r w:rsidR="00D53786" w:rsidRPr="005D3CD5">
        <w:rPr>
          <w:rFonts w:eastAsia="Times New Roman"/>
          <w:lang w:val="fr-FR"/>
        </w:rPr>
        <w:t xml:space="preserve">adoptée </w:t>
      </w:r>
      <w:r w:rsidR="00CE3BC6" w:rsidRPr="005D3CD5">
        <w:rPr>
          <w:rFonts w:eastAsia="Times New Roman"/>
          <w:i/>
          <w:lang w:val="fr-FR"/>
        </w:rPr>
        <w:t>de plano</w:t>
      </w:r>
      <w:r w:rsidR="00CE3BC6" w:rsidRPr="005D3CD5">
        <w:rPr>
          <w:rFonts w:eastAsia="Times New Roman"/>
          <w:lang w:val="fr-FR"/>
        </w:rPr>
        <w:t>, sans respect du principe d</w:t>
      </w:r>
      <w:r w:rsidR="00EC21DC" w:rsidRPr="005D3CD5">
        <w:rPr>
          <w:rFonts w:eastAsia="Times New Roman"/>
          <w:lang w:val="fr-FR"/>
        </w:rPr>
        <w:t>u</w:t>
      </w:r>
      <w:r w:rsidR="00CE3BC6" w:rsidRPr="005D3CD5">
        <w:rPr>
          <w:rFonts w:eastAsia="Times New Roman"/>
          <w:lang w:val="fr-FR"/>
        </w:rPr>
        <w:t xml:space="preserve"> contradictoire</w:t>
      </w:r>
      <w:r w:rsidR="00EC21DC" w:rsidRPr="005D3CD5">
        <w:rPr>
          <w:rFonts w:eastAsia="Times New Roman"/>
          <w:lang w:val="fr-FR"/>
        </w:rPr>
        <w:t>,</w:t>
      </w:r>
      <w:r w:rsidR="00CE3BC6" w:rsidRPr="005D3CD5">
        <w:rPr>
          <w:rFonts w:eastAsia="Times New Roman"/>
          <w:lang w:val="fr-FR"/>
        </w:rPr>
        <w:t xml:space="preserve"> </w:t>
      </w:r>
      <w:r w:rsidR="00D53786" w:rsidRPr="005D3CD5">
        <w:rPr>
          <w:rFonts w:eastAsia="Times New Roman"/>
          <w:lang w:val="fr-FR"/>
        </w:rPr>
        <w:t>était</w:t>
      </w:r>
      <w:r w:rsidR="00CE3BC6" w:rsidRPr="005D3CD5">
        <w:rPr>
          <w:rFonts w:eastAsia="Times New Roman"/>
          <w:lang w:val="fr-FR"/>
        </w:rPr>
        <w:t xml:space="preserve"> nulle.</w:t>
      </w:r>
    </w:p>
    <w:p w:rsidR="00CE3BC6" w:rsidRPr="005D3CD5" w:rsidRDefault="00CE3BC6" w:rsidP="005D3CD5">
      <w:pPr>
        <w:pStyle w:val="ECHRPara"/>
        <w:rPr>
          <w:rFonts w:eastAsia="Times New Roman"/>
          <w:lang w:val="fr-FR"/>
        </w:rPr>
      </w:pPr>
      <w:r w:rsidRPr="005D3CD5">
        <w:rPr>
          <w:rFonts w:eastAsia="Times New Roman"/>
          <w:lang w:val="fr-FR"/>
        </w:rPr>
        <w:t xml:space="preserve">Ensuite, </w:t>
      </w:r>
      <w:r w:rsidR="00D53786" w:rsidRPr="005D3CD5">
        <w:rPr>
          <w:rFonts w:eastAsia="Times New Roman"/>
          <w:lang w:val="fr-FR"/>
        </w:rPr>
        <w:t xml:space="preserve">la </w:t>
      </w:r>
      <w:r w:rsidR="00EC21DC" w:rsidRPr="005D3CD5">
        <w:rPr>
          <w:rFonts w:eastAsia="Times New Roman"/>
          <w:lang w:val="fr-FR"/>
        </w:rPr>
        <w:t xml:space="preserve">Cour de </w:t>
      </w:r>
      <w:r w:rsidR="00D53786" w:rsidRPr="005D3CD5">
        <w:rPr>
          <w:rFonts w:eastAsia="Times New Roman"/>
          <w:lang w:val="fr-FR"/>
        </w:rPr>
        <w:t>cassation rappela</w:t>
      </w:r>
      <w:r w:rsidR="00EC21DC" w:rsidRPr="005D3CD5">
        <w:rPr>
          <w:rFonts w:eastAsia="Times New Roman"/>
          <w:lang w:val="fr-FR"/>
        </w:rPr>
        <w:t>it</w:t>
      </w:r>
      <w:r w:rsidR="00D53786" w:rsidRPr="005D3CD5">
        <w:rPr>
          <w:rFonts w:eastAsia="Times New Roman"/>
          <w:lang w:val="fr-FR"/>
        </w:rPr>
        <w:t xml:space="preserve"> que </w:t>
      </w:r>
      <w:r w:rsidRPr="005D3CD5">
        <w:rPr>
          <w:rFonts w:eastAsia="Times New Roman"/>
          <w:lang w:val="fr-FR"/>
        </w:rPr>
        <w:t xml:space="preserve">la Cour </w:t>
      </w:r>
      <w:r w:rsidR="00EC21DC" w:rsidRPr="005D3CD5">
        <w:rPr>
          <w:rFonts w:eastAsia="Times New Roman"/>
          <w:lang w:val="fr-FR"/>
        </w:rPr>
        <w:t>c</w:t>
      </w:r>
      <w:r w:rsidR="00D53786" w:rsidRPr="005D3CD5">
        <w:rPr>
          <w:rFonts w:eastAsia="Times New Roman"/>
          <w:lang w:val="fr-FR"/>
        </w:rPr>
        <w:t>onstitutionnelle</w:t>
      </w:r>
      <w:r w:rsidR="00EC21DC" w:rsidRPr="005D3CD5">
        <w:rPr>
          <w:rFonts w:eastAsia="Times New Roman"/>
          <w:lang w:val="fr-FR"/>
        </w:rPr>
        <w:t>, qui s</w:t>
      </w:r>
      <w:r w:rsidR="005D3CD5" w:rsidRPr="005D3CD5">
        <w:rPr>
          <w:rFonts w:eastAsia="Times New Roman"/>
          <w:lang w:val="fr-FR"/>
        </w:rPr>
        <w:t>’</w:t>
      </w:r>
      <w:r w:rsidR="00EC21DC" w:rsidRPr="005D3CD5">
        <w:rPr>
          <w:rFonts w:eastAsia="Times New Roman"/>
          <w:lang w:val="fr-FR"/>
        </w:rPr>
        <w:t>é</w:t>
      </w:r>
      <w:r w:rsidR="00D53786" w:rsidRPr="005D3CD5">
        <w:rPr>
          <w:rFonts w:eastAsia="Times New Roman"/>
          <w:lang w:val="fr-FR"/>
        </w:rPr>
        <w:t>tait</w:t>
      </w:r>
      <w:r w:rsidR="00EC21DC" w:rsidRPr="005D3CD5">
        <w:rPr>
          <w:rFonts w:eastAsia="Times New Roman"/>
          <w:lang w:val="fr-FR"/>
        </w:rPr>
        <w:t xml:space="preserve"> penchée sur</w:t>
      </w:r>
      <w:r w:rsidRPr="005D3CD5">
        <w:rPr>
          <w:rFonts w:eastAsia="Times New Roman"/>
          <w:lang w:val="fr-FR"/>
        </w:rPr>
        <w:t xml:space="preserve"> </w:t>
      </w:r>
      <w:r w:rsidR="00EC21DC" w:rsidRPr="005D3CD5">
        <w:rPr>
          <w:rFonts w:eastAsia="Times New Roman"/>
          <w:lang w:val="fr-FR"/>
        </w:rPr>
        <w:t xml:space="preserve">la constitutionnalité de </w:t>
      </w:r>
      <w:r w:rsidRPr="005D3CD5">
        <w:rPr>
          <w:rFonts w:eastAsia="Times New Roman"/>
          <w:lang w:val="fr-FR"/>
        </w:rPr>
        <w:t>l</w:t>
      </w:r>
      <w:r w:rsidR="005D3CD5" w:rsidRPr="005D3CD5">
        <w:rPr>
          <w:rFonts w:eastAsia="Times New Roman"/>
          <w:lang w:val="fr-FR"/>
        </w:rPr>
        <w:t>’</w:t>
      </w:r>
      <w:r w:rsidRPr="005D3CD5">
        <w:rPr>
          <w:rFonts w:eastAsia="Times New Roman"/>
          <w:lang w:val="fr-FR"/>
        </w:rPr>
        <w:t xml:space="preserve">article 13, alinéa 5 bis du </w:t>
      </w:r>
      <w:r w:rsidR="00D93910" w:rsidRPr="005D3CD5">
        <w:rPr>
          <w:rFonts w:eastAsia="Times New Roman"/>
          <w:bCs/>
          <w:lang w:val="fr-FR"/>
        </w:rPr>
        <w:t>décret-loi n</w:t>
      </w:r>
      <w:r w:rsidR="00D93910" w:rsidRPr="005D3CD5">
        <w:rPr>
          <w:rFonts w:eastAsia="Times New Roman"/>
          <w:bCs/>
          <w:vertAlign w:val="superscript"/>
          <w:lang w:val="fr-FR"/>
        </w:rPr>
        <w:t>o</w:t>
      </w:r>
      <w:r w:rsidR="0014608E" w:rsidRPr="005D3CD5">
        <w:rPr>
          <w:rFonts w:eastAsia="Times New Roman"/>
          <w:bCs/>
          <w:vertAlign w:val="superscript"/>
          <w:lang w:val="fr-FR"/>
        </w:rPr>
        <w:t xml:space="preserve"> </w:t>
      </w:r>
      <w:r w:rsidR="00D93910" w:rsidRPr="005D3CD5">
        <w:rPr>
          <w:rFonts w:eastAsia="Times New Roman"/>
          <w:bCs/>
          <w:lang w:val="fr-FR"/>
        </w:rPr>
        <w:t>286/98</w:t>
      </w:r>
      <w:r w:rsidR="00EC21DC" w:rsidRPr="005D3CD5">
        <w:rPr>
          <w:rFonts w:eastAsia="Times New Roman"/>
          <w:lang w:val="fr-FR"/>
        </w:rPr>
        <w:t>, avait déclaré</w:t>
      </w:r>
      <w:r w:rsidR="00D60377" w:rsidRPr="005D3CD5">
        <w:rPr>
          <w:rFonts w:eastAsia="Times New Roman"/>
          <w:lang w:val="fr-FR"/>
        </w:rPr>
        <w:t>,</w:t>
      </w:r>
      <w:r w:rsidR="00EC21DC" w:rsidRPr="005D3CD5">
        <w:rPr>
          <w:rFonts w:eastAsia="Times New Roman"/>
          <w:lang w:val="fr-FR"/>
        </w:rPr>
        <w:t xml:space="preserve"> </w:t>
      </w:r>
      <w:r w:rsidR="00D60377" w:rsidRPr="005D3CD5">
        <w:rPr>
          <w:rFonts w:eastAsia="Times New Roman"/>
          <w:lang w:val="fr-FR"/>
        </w:rPr>
        <w:t>dans son arrêt</w:t>
      </w:r>
      <w:r w:rsidR="009F210B" w:rsidRPr="005D3CD5">
        <w:rPr>
          <w:rFonts w:eastAsia="Times New Roman"/>
          <w:lang w:val="fr-FR"/>
        </w:rPr>
        <w:t xml:space="preserve"> </w:t>
      </w:r>
      <w:r w:rsidR="00D60377" w:rsidRPr="005D3CD5">
        <w:rPr>
          <w:rFonts w:eastAsia="Times New Roman"/>
          <w:lang w:val="fr-FR"/>
        </w:rPr>
        <w:t>n</w:t>
      </w:r>
      <w:r w:rsidR="00B504CC" w:rsidRPr="005D3CD5">
        <w:rPr>
          <w:rFonts w:eastAsia="Times New Roman"/>
          <w:vertAlign w:val="superscript"/>
          <w:lang w:val="fr-FR"/>
        </w:rPr>
        <w:t>o</w:t>
      </w:r>
      <w:r w:rsidR="005D3CD5" w:rsidRPr="005D3CD5">
        <w:rPr>
          <w:rFonts w:eastAsia="Times New Roman"/>
          <w:vertAlign w:val="superscript"/>
          <w:lang w:val="fr-FR"/>
        </w:rPr>
        <w:t xml:space="preserve"> </w:t>
      </w:r>
      <w:r w:rsidR="00D60377" w:rsidRPr="005D3CD5">
        <w:rPr>
          <w:rFonts w:eastAsia="Times New Roman"/>
          <w:lang w:val="fr-FR"/>
        </w:rPr>
        <w:t xml:space="preserve">222 de 2004, </w:t>
      </w:r>
      <w:r w:rsidR="00EC21DC" w:rsidRPr="005D3CD5">
        <w:rPr>
          <w:rFonts w:eastAsia="Times New Roman"/>
          <w:lang w:val="fr-FR"/>
        </w:rPr>
        <w:t>que cette disposition était inconstitutionnelle au motif qu</w:t>
      </w:r>
      <w:r w:rsidR="005D3CD5" w:rsidRPr="005D3CD5">
        <w:rPr>
          <w:rFonts w:eastAsia="Times New Roman"/>
          <w:lang w:val="fr-FR"/>
        </w:rPr>
        <w:t>’</w:t>
      </w:r>
      <w:r w:rsidR="00EC21DC" w:rsidRPr="005D3CD5">
        <w:rPr>
          <w:rFonts w:eastAsia="Times New Roman"/>
          <w:lang w:val="fr-FR"/>
        </w:rPr>
        <w:t>elle</w:t>
      </w:r>
      <w:r w:rsidR="00D53786" w:rsidRPr="005D3CD5">
        <w:rPr>
          <w:rFonts w:eastAsia="Times New Roman"/>
          <w:lang w:val="fr-FR"/>
        </w:rPr>
        <w:t xml:space="preserve"> ne prévoyait pas que la validation de la décision de placement en détention devait se dérouler</w:t>
      </w:r>
      <w:r w:rsidR="006048D0" w:rsidRPr="005D3CD5">
        <w:rPr>
          <w:rFonts w:eastAsia="Times New Roman"/>
          <w:lang w:val="fr-FR"/>
        </w:rPr>
        <w:t xml:space="preserve"> dans le respect des principes du</w:t>
      </w:r>
      <w:r w:rsidR="00D53786" w:rsidRPr="005D3CD5">
        <w:rPr>
          <w:rFonts w:eastAsia="Times New Roman"/>
          <w:lang w:val="fr-FR"/>
        </w:rPr>
        <w:t xml:space="preserve"> contradictoire </w:t>
      </w:r>
      <w:r w:rsidR="006048D0" w:rsidRPr="005D3CD5">
        <w:rPr>
          <w:rFonts w:eastAsia="Times New Roman"/>
          <w:lang w:val="fr-FR"/>
        </w:rPr>
        <w:t>et d</w:t>
      </w:r>
      <w:r w:rsidR="00D53786" w:rsidRPr="005D3CD5">
        <w:rPr>
          <w:rFonts w:eastAsia="Times New Roman"/>
          <w:lang w:val="fr-FR"/>
        </w:rPr>
        <w:t>e</w:t>
      </w:r>
      <w:r w:rsidR="00EC21DC" w:rsidRPr="005D3CD5">
        <w:rPr>
          <w:rFonts w:eastAsia="Times New Roman"/>
          <w:lang w:val="fr-FR"/>
        </w:rPr>
        <w:t>s</w:t>
      </w:r>
      <w:r w:rsidR="00D53786" w:rsidRPr="005D3CD5">
        <w:rPr>
          <w:rFonts w:eastAsia="Times New Roman"/>
          <w:lang w:val="fr-FR"/>
        </w:rPr>
        <w:t xml:space="preserve"> droit</w:t>
      </w:r>
      <w:r w:rsidR="00EC21DC" w:rsidRPr="005D3CD5">
        <w:rPr>
          <w:rFonts w:eastAsia="Times New Roman"/>
          <w:lang w:val="fr-FR"/>
        </w:rPr>
        <w:t>s</w:t>
      </w:r>
      <w:r w:rsidR="00D53786" w:rsidRPr="005D3CD5">
        <w:rPr>
          <w:rFonts w:eastAsia="Times New Roman"/>
          <w:lang w:val="fr-FR"/>
        </w:rPr>
        <w:t xml:space="preserve"> de la défense</w:t>
      </w:r>
      <w:r w:rsidR="00EC21DC" w:rsidRPr="005D3CD5">
        <w:rPr>
          <w:rFonts w:eastAsia="Times New Roman"/>
          <w:lang w:val="fr-FR"/>
        </w:rPr>
        <w:t xml:space="preserve"> et que, en outre, c</w:t>
      </w:r>
      <w:r w:rsidR="00D53786" w:rsidRPr="005D3CD5">
        <w:rPr>
          <w:rFonts w:eastAsia="Times New Roman"/>
          <w:lang w:val="fr-FR"/>
        </w:rPr>
        <w:t>es principes devaient s</w:t>
      </w:r>
      <w:r w:rsidR="005D3CD5" w:rsidRPr="005D3CD5">
        <w:rPr>
          <w:rFonts w:eastAsia="Times New Roman"/>
          <w:lang w:val="fr-FR"/>
        </w:rPr>
        <w:t>’</w:t>
      </w:r>
      <w:r w:rsidR="00D53786" w:rsidRPr="005D3CD5">
        <w:rPr>
          <w:rFonts w:eastAsia="Times New Roman"/>
          <w:lang w:val="fr-FR"/>
        </w:rPr>
        <w:t>appliquer même en cas de prolongation de la mesure.</w:t>
      </w:r>
    </w:p>
    <w:p w:rsidR="009E275D"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17</w:t>
      </w:r>
      <w:r w:rsidRPr="005D3CD5">
        <w:rPr>
          <w:rFonts w:eastAsia="Times New Roman"/>
          <w:lang w:val="fr-FR"/>
        </w:rPr>
        <w:fldChar w:fldCharType="end"/>
      </w:r>
      <w:r w:rsidRPr="005D3CD5">
        <w:rPr>
          <w:rFonts w:eastAsia="Times New Roman"/>
          <w:lang w:val="fr-FR"/>
        </w:rPr>
        <w:t xml:space="preserve">.  Le 3 février 2011, les requérants introduisirent </w:t>
      </w:r>
      <w:r w:rsidR="007F263F" w:rsidRPr="005D3CD5">
        <w:rPr>
          <w:rFonts w:eastAsia="Times New Roman"/>
          <w:lang w:val="fr-FR"/>
        </w:rPr>
        <w:t>quatre actions civiles</w:t>
      </w:r>
      <w:r w:rsidRPr="005D3CD5">
        <w:rPr>
          <w:rFonts w:eastAsia="Times New Roman"/>
          <w:lang w:val="fr-FR"/>
        </w:rPr>
        <w:t xml:space="preserve"> </w:t>
      </w:r>
      <w:r w:rsidR="007F263F" w:rsidRPr="005D3CD5">
        <w:rPr>
          <w:rFonts w:eastAsia="Times New Roman"/>
          <w:lang w:val="fr-FR"/>
        </w:rPr>
        <w:t xml:space="preserve">devant le tribunal de Rome </w:t>
      </w:r>
      <w:r w:rsidRPr="005D3CD5">
        <w:rPr>
          <w:rFonts w:eastAsia="Times New Roman"/>
          <w:lang w:val="fr-FR"/>
        </w:rPr>
        <w:t>contre l</w:t>
      </w:r>
      <w:r w:rsidR="005D3CD5" w:rsidRPr="005D3CD5">
        <w:rPr>
          <w:rFonts w:eastAsia="Times New Roman"/>
          <w:lang w:val="fr-FR"/>
        </w:rPr>
        <w:t>’</w:t>
      </w:r>
      <w:r w:rsidR="006048D0" w:rsidRPr="005D3CD5">
        <w:rPr>
          <w:rFonts w:eastAsia="Times New Roman"/>
          <w:lang w:val="fr-FR"/>
        </w:rPr>
        <w:t>État</w:t>
      </w:r>
      <w:r w:rsidR="00482688" w:rsidRPr="005D3CD5">
        <w:rPr>
          <w:rFonts w:eastAsia="Times New Roman"/>
          <w:lang w:val="fr-FR"/>
        </w:rPr>
        <w:t xml:space="preserve">, dirigées contre le </w:t>
      </w:r>
      <w:r w:rsidR="006048D0" w:rsidRPr="005D3CD5">
        <w:rPr>
          <w:rFonts w:eastAsia="Times New Roman"/>
          <w:lang w:val="fr-FR"/>
        </w:rPr>
        <w:t>m</w:t>
      </w:r>
      <w:r w:rsidRPr="005D3CD5">
        <w:rPr>
          <w:rFonts w:eastAsia="Times New Roman"/>
          <w:lang w:val="fr-FR"/>
        </w:rPr>
        <w:t>inistère de l</w:t>
      </w:r>
      <w:r w:rsidR="005D3CD5" w:rsidRPr="005D3CD5">
        <w:rPr>
          <w:rFonts w:eastAsia="Times New Roman"/>
          <w:lang w:val="fr-FR"/>
        </w:rPr>
        <w:t>’</w:t>
      </w:r>
      <w:r w:rsidR="006048D0" w:rsidRPr="005D3CD5">
        <w:rPr>
          <w:rFonts w:eastAsia="Times New Roman"/>
          <w:lang w:val="fr-FR"/>
        </w:rPr>
        <w:t>I</w:t>
      </w:r>
      <w:r w:rsidRPr="005D3CD5">
        <w:rPr>
          <w:rFonts w:eastAsia="Times New Roman"/>
          <w:lang w:val="fr-FR"/>
        </w:rPr>
        <w:t xml:space="preserve">ntérieur et </w:t>
      </w:r>
      <w:r w:rsidR="00482688" w:rsidRPr="005D3CD5">
        <w:rPr>
          <w:rFonts w:eastAsia="Times New Roman"/>
          <w:lang w:val="fr-FR"/>
        </w:rPr>
        <w:t xml:space="preserve">le </w:t>
      </w:r>
      <w:r w:rsidR="006048D0" w:rsidRPr="005D3CD5">
        <w:rPr>
          <w:rFonts w:eastAsia="Times New Roman"/>
          <w:lang w:val="fr-FR"/>
        </w:rPr>
        <w:t>m</w:t>
      </w:r>
      <w:r w:rsidRPr="005D3CD5">
        <w:rPr>
          <w:rFonts w:eastAsia="Times New Roman"/>
          <w:lang w:val="fr-FR"/>
        </w:rPr>
        <w:t xml:space="preserve">inistère de la </w:t>
      </w:r>
      <w:r w:rsidR="006048D0" w:rsidRPr="005D3CD5">
        <w:rPr>
          <w:rFonts w:eastAsia="Times New Roman"/>
          <w:lang w:val="fr-FR"/>
        </w:rPr>
        <w:t>J</w:t>
      </w:r>
      <w:r w:rsidRPr="005D3CD5">
        <w:rPr>
          <w:rFonts w:eastAsia="Times New Roman"/>
          <w:lang w:val="fr-FR"/>
        </w:rPr>
        <w:t>ustice</w:t>
      </w:r>
      <w:r w:rsidR="00482688" w:rsidRPr="005D3CD5">
        <w:rPr>
          <w:rFonts w:eastAsia="Times New Roman"/>
          <w:lang w:val="fr-FR"/>
        </w:rPr>
        <w:t>,</w:t>
      </w:r>
      <w:r w:rsidRPr="005D3CD5">
        <w:rPr>
          <w:rFonts w:eastAsia="Times New Roman"/>
          <w:lang w:val="fr-FR"/>
        </w:rPr>
        <w:t xml:space="preserve"> en réparation du préjudic</w:t>
      </w:r>
      <w:r w:rsidR="007F263F" w:rsidRPr="005D3CD5">
        <w:rPr>
          <w:rFonts w:eastAsia="Times New Roman"/>
          <w:lang w:val="fr-FR"/>
        </w:rPr>
        <w:t xml:space="preserve">e </w:t>
      </w:r>
      <w:r w:rsidR="006048D0" w:rsidRPr="005D3CD5">
        <w:rPr>
          <w:rFonts w:eastAsia="Times New Roman"/>
          <w:lang w:val="fr-FR"/>
        </w:rPr>
        <w:t>qu</w:t>
      </w:r>
      <w:r w:rsidR="005D3CD5" w:rsidRPr="005D3CD5">
        <w:rPr>
          <w:rFonts w:eastAsia="Times New Roman"/>
          <w:lang w:val="fr-FR"/>
        </w:rPr>
        <w:t>’</w:t>
      </w:r>
      <w:r w:rsidR="006048D0" w:rsidRPr="005D3CD5">
        <w:rPr>
          <w:rFonts w:eastAsia="Times New Roman"/>
          <w:lang w:val="fr-FR"/>
        </w:rPr>
        <w:t xml:space="preserve">ils estimaient avoir </w:t>
      </w:r>
      <w:r w:rsidR="007F263F" w:rsidRPr="005D3CD5">
        <w:rPr>
          <w:rFonts w:eastAsia="Times New Roman"/>
          <w:lang w:val="fr-FR"/>
        </w:rPr>
        <w:t xml:space="preserve">subi </w:t>
      </w:r>
      <w:r w:rsidR="00482688" w:rsidRPr="005D3CD5">
        <w:rPr>
          <w:rFonts w:eastAsia="Times New Roman"/>
          <w:lang w:val="fr-FR"/>
        </w:rPr>
        <w:t>en raison de leur placement en</w:t>
      </w:r>
      <w:r w:rsidR="009E275D" w:rsidRPr="005D3CD5">
        <w:rPr>
          <w:rFonts w:eastAsia="Times New Roman"/>
          <w:lang w:val="fr-FR"/>
        </w:rPr>
        <w:t xml:space="preserve"> détention du 24</w:t>
      </w:r>
      <w:r w:rsidR="00482688" w:rsidRPr="005D3CD5">
        <w:rPr>
          <w:rFonts w:eastAsia="Times New Roman"/>
          <w:lang w:val="fr-FR"/>
        </w:rPr>
        <w:t> novembre</w:t>
      </w:r>
      <w:r w:rsidR="009E275D" w:rsidRPr="005D3CD5">
        <w:rPr>
          <w:rFonts w:eastAsia="Times New Roman"/>
          <w:lang w:val="fr-FR"/>
        </w:rPr>
        <w:t xml:space="preserve"> 2008 au </w:t>
      </w:r>
      <w:r w:rsidR="00336E98" w:rsidRPr="005D3CD5">
        <w:rPr>
          <w:rFonts w:eastAsia="Times New Roman"/>
          <w:lang w:val="fr-FR"/>
        </w:rPr>
        <w:t xml:space="preserve">14 </w:t>
      </w:r>
      <w:r w:rsidR="009E275D" w:rsidRPr="005D3CD5">
        <w:rPr>
          <w:rFonts w:eastAsia="Times New Roman"/>
          <w:lang w:val="fr-FR"/>
        </w:rPr>
        <w:t>janvier 2009.</w:t>
      </w:r>
    </w:p>
    <w:p w:rsidR="009F210B"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18</w:t>
      </w:r>
      <w:r w:rsidRPr="005D3CD5">
        <w:rPr>
          <w:rFonts w:eastAsia="Times New Roman"/>
          <w:lang w:val="fr-FR"/>
        </w:rPr>
        <w:fldChar w:fldCharType="end"/>
      </w:r>
      <w:r w:rsidRPr="005D3CD5">
        <w:rPr>
          <w:rFonts w:eastAsia="Times New Roman"/>
          <w:lang w:val="fr-FR"/>
        </w:rPr>
        <w:t>.  </w:t>
      </w:r>
      <w:r w:rsidR="006022F4" w:rsidRPr="005D3CD5">
        <w:rPr>
          <w:rFonts w:eastAsia="Times New Roman"/>
          <w:lang w:val="fr-FR"/>
        </w:rPr>
        <w:t>Le tribunal de Rome se prononça sur ces actions p</w:t>
      </w:r>
      <w:r w:rsidRPr="005D3CD5">
        <w:rPr>
          <w:rFonts w:eastAsia="Times New Roman"/>
          <w:lang w:val="fr-FR"/>
        </w:rPr>
        <w:t>ar plusieurs décisions</w:t>
      </w:r>
      <w:r w:rsidR="006022F4" w:rsidRPr="005D3CD5">
        <w:rPr>
          <w:rFonts w:eastAsia="Times New Roman"/>
          <w:lang w:val="fr-FR"/>
        </w:rPr>
        <w:t xml:space="preserve"> datées</w:t>
      </w:r>
      <w:r w:rsidRPr="005D3CD5">
        <w:rPr>
          <w:rFonts w:eastAsia="Times New Roman"/>
          <w:lang w:val="fr-FR"/>
        </w:rPr>
        <w:t xml:space="preserve"> de septembre 2014 et juin 2016</w:t>
      </w:r>
      <w:r w:rsidR="006022F4" w:rsidRPr="005D3CD5">
        <w:rPr>
          <w:rFonts w:eastAsia="Times New Roman"/>
          <w:lang w:val="fr-FR"/>
        </w:rPr>
        <w:t>. S</w:t>
      </w:r>
      <w:r w:rsidR="005D3CD5" w:rsidRPr="005D3CD5">
        <w:rPr>
          <w:rFonts w:eastAsia="Times New Roman"/>
          <w:lang w:val="fr-FR"/>
        </w:rPr>
        <w:t>’</w:t>
      </w:r>
      <w:r w:rsidR="006022F4" w:rsidRPr="005D3CD5">
        <w:rPr>
          <w:rFonts w:eastAsia="Times New Roman"/>
          <w:lang w:val="fr-FR"/>
        </w:rPr>
        <w:t>agissant de la mise en cause du ministère de l</w:t>
      </w:r>
      <w:r w:rsidR="005D3CD5" w:rsidRPr="005D3CD5">
        <w:rPr>
          <w:rFonts w:eastAsia="Times New Roman"/>
          <w:lang w:val="fr-FR"/>
        </w:rPr>
        <w:t>’</w:t>
      </w:r>
      <w:r w:rsidR="006022F4" w:rsidRPr="005D3CD5">
        <w:rPr>
          <w:rFonts w:eastAsia="Times New Roman"/>
          <w:lang w:val="fr-FR"/>
        </w:rPr>
        <w:t xml:space="preserve">Intérieur, le tribunal rejeta </w:t>
      </w:r>
      <w:r w:rsidR="00B564B7" w:rsidRPr="005D3CD5">
        <w:rPr>
          <w:rFonts w:eastAsia="Times New Roman"/>
          <w:lang w:val="fr-FR"/>
        </w:rPr>
        <w:t>les</w:t>
      </w:r>
      <w:r w:rsidRPr="005D3CD5">
        <w:rPr>
          <w:rFonts w:eastAsia="Times New Roman"/>
          <w:lang w:val="fr-FR"/>
        </w:rPr>
        <w:t xml:space="preserve"> </w:t>
      </w:r>
      <w:r w:rsidR="00B564B7" w:rsidRPr="005D3CD5">
        <w:rPr>
          <w:rFonts w:eastAsia="Times New Roman"/>
          <w:lang w:val="fr-FR"/>
        </w:rPr>
        <w:t xml:space="preserve">recours des requérants </w:t>
      </w:r>
      <w:r w:rsidRPr="005D3CD5">
        <w:rPr>
          <w:rFonts w:eastAsia="Times New Roman"/>
          <w:lang w:val="fr-FR"/>
        </w:rPr>
        <w:t>au motif que le chef de la police de Rome s</w:t>
      </w:r>
      <w:r w:rsidR="005D3CD5" w:rsidRPr="005D3CD5">
        <w:rPr>
          <w:rFonts w:eastAsia="Times New Roman"/>
          <w:lang w:val="fr-FR"/>
        </w:rPr>
        <w:t>’</w:t>
      </w:r>
      <w:r w:rsidRPr="005D3CD5">
        <w:rPr>
          <w:rFonts w:eastAsia="Times New Roman"/>
          <w:lang w:val="fr-FR"/>
        </w:rPr>
        <w:t>était limité à donner exécution à une décision de l</w:t>
      </w:r>
      <w:r w:rsidR="005D3CD5" w:rsidRPr="005D3CD5">
        <w:rPr>
          <w:rFonts w:eastAsia="Times New Roman"/>
          <w:lang w:val="fr-FR"/>
        </w:rPr>
        <w:t>’</w:t>
      </w:r>
      <w:r w:rsidRPr="005D3CD5">
        <w:rPr>
          <w:rFonts w:eastAsia="Times New Roman"/>
          <w:lang w:val="fr-FR"/>
        </w:rPr>
        <w:t xml:space="preserve">autorité judiciaire. Quant à la responsabilité du </w:t>
      </w:r>
      <w:r w:rsidR="006022F4" w:rsidRPr="005D3CD5">
        <w:rPr>
          <w:rFonts w:eastAsia="Times New Roman"/>
          <w:lang w:val="fr-FR"/>
        </w:rPr>
        <w:t>m</w:t>
      </w:r>
      <w:r w:rsidRPr="005D3CD5">
        <w:rPr>
          <w:rFonts w:eastAsia="Times New Roman"/>
          <w:lang w:val="fr-FR"/>
        </w:rPr>
        <w:t xml:space="preserve">inistère de la </w:t>
      </w:r>
      <w:r w:rsidR="006022F4" w:rsidRPr="005D3CD5">
        <w:rPr>
          <w:rFonts w:eastAsia="Times New Roman"/>
          <w:lang w:val="fr-FR"/>
        </w:rPr>
        <w:t>J</w:t>
      </w:r>
      <w:r w:rsidRPr="005D3CD5">
        <w:rPr>
          <w:rFonts w:eastAsia="Times New Roman"/>
          <w:lang w:val="fr-FR"/>
        </w:rPr>
        <w:t xml:space="preserve">ustice, </w:t>
      </w:r>
      <w:r w:rsidR="006022F4" w:rsidRPr="005D3CD5">
        <w:rPr>
          <w:rFonts w:eastAsia="Times New Roman"/>
          <w:lang w:val="fr-FR"/>
        </w:rPr>
        <w:t>il jugea que l</w:t>
      </w:r>
      <w:r w:rsidR="005940AE" w:rsidRPr="005D3CD5">
        <w:rPr>
          <w:rFonts w:eastAsia="Times New Roman"/>
          <w:lang w:val="fr-FR"/>
        </w:rPr>
        <w:t>a</w:t>
      </w:r>
      <w:r w:rsidRPr="005D3CD5">
        <w:rPr>
          <w:rFonts w:eastAsia="Times New Roman"/>
          <w:lang w:val="fr-FR"/>
        </w:rPr>
        <w:t xml:space="preserve"> demande</w:t>
      </w:r>
      <w:r w:rsidR="005940AE" w:rsidRPr="005D3CD5">
        <w:rPr>
          <w:rFonts w:eastAsia="Times New Roman"/>
          <w:lang w:val="fr-FR"/>
        </w:rPr>
        <w:t xml:space="preserve"> des requérants</w:t>
      </w:r>
      <w:r w:rsidRPr="005D3CD5">
        <w:rPr>
          <w:rFonts w:eastAsia="Times New Roman"/>
          <w:lang w:val="fr-FR"/>
        </w:rPr>
        <w:t xml:space="preserve"> était irrecevable</w:t>
      </w:r>
      <w:r w:rsidR="006022F4" w:rsidRPr="005D3CD5">
        <w:rPr>
          <w:rFonts w:eastAsia="Times New Roman"/>
          <w:lang w:val="fr-FR"/>
        </w:rPr>
        <w:t xml:space="preserve"> et qu</w:t>
      </w:r>
      <w:r w:rsidR="005D3CD5" w:rsidRPr="005D3CD5">
        <w:rPr>
          <w:rFonts w:eastAsia="Times New Roman"/>
          <w:lang w:val="fr-FR"/>
        </w:rPr>
        <w:t>’</w:t>
      </w:r>
      <w:r w:rsidRPr="005D3CD5">
        <w:rPr>
          <w:rFonts w:eastAsia="Times New Roman"/>
          <w:lang w:val="fr-FR"/>
        </w:rPr>
        <w:t>il</w:t>
      </w:r>
      <w:r w:rsidR="005940AE" w:rsidRPr="005D3CD5">
        <w:rPr>
          <w:rFonts w:eastAsia="Times New Roman"/>
          <w:lang w:val="fr-FR"/>
        </w:rPr>
        <w:t xml:space="preserve"> convenait d</w:t>
      </w:r>
      <w:r w:rsidR="005D3CD5" w:rsidRPr="005D3CD5">
        <w:rPr>
          <w:rFonts w:eastAsia="Times New Roman"/>
          <w:lang w:val="fr-FR"/>
        </w:rPr>
        <w:t>’</w:t>
      </w:r>
      <w:r w:rsidRPr="005D3CD5">
        <w:rPr>
          <w:rFonts w:eastAsia="Times New Roman"/>
          <w:lang w:val="fr-FR"/>
        </w:rPr>
        <w:t>introduire une action en responsabilité civile contre les magistrats.</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19</w:t>
      </w:r>
      <w:r w:rsidRPr="005D3CD5">
        <w:rPr>
          <w:rFonts w:eastAsia="Times New Roman"/>
          <w:lang w:val="fr-FR"/>
        </w:rPr>
        <w:fldChar w:fldCharType="end"/>
      </w:r>
      <w:r w:rsidRPr="005D3CD5">
        <w:rPr>
          <w:rFonts w:eastAsia="Times New Roman"/>
          <w:lang w:val="fr-FR"/>
        </w:rPr>
        <w:t>.  </w:t>
      </w:r>
      <w:r w:rsidR="00B564B7" w:rsidRPr="005D3CD5">
        <w:rPr>
          <w:rFonts w:eastAsia="Times New Roman"/>
          <w:lang w:val="fr-FR"/>
        </w:rPr>
        <w:t>En particulier</w:t>
      </w:r>
      <w:r w:rsidR="006022F4" w:rsidRPr="005D3CD5">
        <w:rPr>
          <w:rFonts w:eastAsia="Times New Roman"/>
          <w:lang w:val="fr-FR"/>
        </w:rPr>
        <w:t>,</w:t>
      </w:r>
      <w:r w:rsidR="00B564B7" w:rsidRPr="005D3CD5">
        <w:rPr>
          <w:rFonts w:eastAsia="Times New Roman"/>
          <w:lang w:val="fr-FR"/>
        </w:rPr>
        <w:t xml:space="preserve"> dans une de</w:t>
      </w:r>
      <w:r w:rsidR="006022F4" w:rsidRPr="005D3CD5">
        <w:rPr>
          <w:rFonts w:eastAsia="Times New Roman"/>
          <w:lang w:val="fr-FR"/>
        </w:rPr>
        <w:t xml:space="preserve"> ses</w:t>
      </w:r>
      <w:r w:rsidR="00B564B7" w:rsidRPr="005D3CD5">
        <w:rPr>
          <w:rFonts w:eastAsia="Times New Roman"/>
          <w:lang w:val="fr-FR"/>
        </w:rPr>
        <w:t xml:space="preserve"> décisions</w:t>
      </w:r>
      <w:r w:rsidRPr="005D3CD5">
        <w:rPr>
          <w:rFonts w:eastAsia="Times New Roman"/>
          <w:lang w:val="fr-FR"/>
        </w:rPr>
        <w:t xml:space="preserve"> </w:t>
      </w:r>
      <w:r w:rsidR="00B564B7" w:rsidRPr="005D3CD5">
        <w:rPr>
          <w:rFonts w:eastAsia="Times New Roman"/>
          <w:lang w:val="fr-FR"/>
        </w:rPr>
        <w:t>(</w:t>
      </w:r>
      <w:r w:rsidR="005C3197" w:rsidRPr="005D3CD5">
        <w:rPr>
          <w:rFonts w:eastAsia="Times New Roman"/>
          <w:lang w:val="fr-FR"/>
        </w:rPr>
        <w:t xml:space="preserve">en </w:t>
      </w:r>
      <w:r w:rsidR="006022F4" w:rsidRPr="005D3CD5">
        <w:rPr>
          <w:rFonts w:eastAsia="Times New Roman"/>
          <w:lang w:val="fr-FR"/>
        </w:rPr>
        <w:t>d</w:t>
      </w:r>
      <w:r w:rsidR="005C3197" w:rsidRPr="005D3CD5">
        <w:rPr>
          <w:rFonts w:eastAsia="Times New Roman"/>
          <w:lang w:val="fr-FR"/>
        </w:rPr>
        <w:t>ate</w:t>
      </w:r>
      <w:r w:rsidR="006022F4" w:rsidRPr="005D3CD5">
        <w:rPr>
          <w:rFonts w:eastAsia="Times New Roman"/>
          <w:lang w:val="fr-FR"/>
        </w:rPr>
        <w:t xml:space="preserve"> du </w:t>
      </w:r>
      <w:r w:rsidRPr="005D3CD5">
        <w:rPr>
          <w:rFonts w:eastAsia="Times New Roman"/>
          <w:lang w:val="fr-FR"/>
        </w:rPr>
        <w:t>26 juin 2016</w:t>
      </w:r>
      <w:r w:rsidR="00B564B7" w:rsidRPr="005D3CD5">
        <w:rPr>
          <w:rFonts w:eastAsia="Times New Roman"/>
          <w:lang w:val="fr-FR"/>
        </w:rPr>
        <w:t>), le tribunal de Rome souligna</w:t>
      </w:r>
      <w:r w:rsidR="006022F4" w:rsidRPr="005D3CD5">
        <w:rPr>
          <w:rFonts w:eastAsia="Times New Roman"/>
          <w:lang w:val="fr-FR"/>
        </w:rPr>
        <w:t xml:space="preserve">it, en se référant à </w:t>
      </w:r>
      <w:r w:rsidRPr="005D3CD5">
        <w:rPr>
          <w:rFonts w:eastAsia="Times New Roman"/>
          <w:lang w:val="fr-FR"/>
        </w:rPr>
        <w:t xml:space="preserve">la jurisprudence de la Cour, </w:t>
      </w:r>
      <w:r w:rsidR="006022F4" w:rsidRPr="005D3CD5">
        <w:rPr>
          <w:rFonts w:eastAsia="Times New Roman"/>
          <w:lang w:val="fr-FR"/>
        </w:rPr>
        <w:t>que</w:t>
      </w:r>
      <w:r w:rsidR="00E075FB" w:rsidRPr="005D3CD5">
        <w:rPr>
          <w:rFonts w:eastAsia="Times New Roman"/>
          <w:lang w:val="fr-FR"/>
        </w:rPr>
        <w:t xml:space="preserve"> la légalité de la détention initiale n</w:t>
      </w:r>
      <w:r w:rsidR="005D3CD5" w:rsidRPr="005D3CD5">
        <w:rPr>
          <w:rFonts w:eastAsia="Times New Roman"/>
          <w:lang w:val="fr-FR"/>
        </w:rPr>
        <w:t>’</w:t>
      </w:r>
      <w:r w:rsidR="00E075FB" w:rsidRPr="005D3CD5">
        <w:rPr>
          <w:rFonts w:eastAsia="Times New Roman"/>
          <w:lang w:val="fr-FR"/>
        </w:rPr>
        <w:t>était pas, en tant que telle</w:t>
      </w:r>
      <w:r w:rsidR="00844773" w:rsidRPr="005D3CD5">
        <w:rPr>
          <w:rFonts w:eastAsia="Times New Roman"/>
          <w:lang w:val="fr-FR"/>
        </w:rPr>
        <w:t>,</w:t>
      </w:r>
      <w:r w:rsidR="00E075FB" w:rsidRPr="005D3CD5">
        <w:rPr>
          <w:rFonts w:eastAsia="Times New Roman"/>
          <w:lang w:val="fr-FR"/>
        </w:rPr>
        <w:t xml:space="preserve"> affectée par la seule circonstance que la décision du juge de paix de prolonger la rétention des requérants avait été annulée par la suite.</w:t>
      </w:r>
    </w:p>
    <w:p w:rsidR="00996C8A" w:rsidRPr="005D3CD5" w:rsidRDefault="00996C8A" w:rsidP="005D3CD5">
      <w:pPr>
        <w:pStyle w:val="ECHRHeading1"/>
        <w:rPr>
          <w:rFonts w:eastAsia="Times New Roman"/>
          <w:lang w:val="fr-FR"/>
        </w:rPr>
      </w:pPr>
      <w:r w:rsidRPr="005D3CD5">
        <w:rPr>
          <w:rFonts w:eastAsia="Times New Roman"/>
          <w:lang w:val="fr-FR"/>
        </w:rPr>
        <w:lastRenderedPageBreak/>
        <w:t>II.  LE DROIT ET LA PRATIQUE INTERNES PERTINENTS</w:t>
      </w:r>
    </w:p>
    <w:p w:rsidR="00996C8A" w:rsidRPr="005D3CD5" w:rsidRDefault="00996C8A" w:rsidP="005D3CD5">
      <w:pPr>
        <w:pStyle w:val="ECHRHeading2"/>
        <w:rPr>
          <w:lang w:val="fr-FR"/>
        </w:rPr>
      </w:pPr>
      <w:r w:rsidRPr="005D3CD5">
        <w:rPr>
          <w:lang w:val="fr-FR"/>
        </w:rPr>
        <w:t>A.</w:t>
      </w:r>
      <w:r w:rsidR="00DE6131" w:rsidRPr="005D3CD5">
        <w:rPr>
          <w:lang w:val="fr-FR"/>
        </w:rPr>
        <w:t>  </w:t>
      </w:r>
      <w:r w:rsidRPr="005D3CD5">
        <w:rPr>
          <w:lang w:val="fr-FR"/>
        </w:rPr>
        <w:t>Le décret-loi (decreto legislativo) n</w:t>
      </w:r>
      <w:r w:rsidR="00B504CC" w:rsidRPr="005D3CD5">
        <w:rPr>
          <w:vertAlign w:val="superscript"/>
          <w:lang w:val="fr-FR"/>
        </w:rPr>
        <w:t>o</w:t>
      </w:r>
      <w:r w:rsidRPr="005D3CD5">
        <w:rPr>
          <w:lang w:val="fr-FR"/>
        </w:rPr>
        <w:t xml:space="preserve"> 286/98 (« Texte unique des dispositions concernant la règlementation de l</w:t>
      </w:r>
      <w:r w:rsidR="005D3CD5" w:rsidRPr="005D3CD5">
        <w:rPr>
          <w:lang w:val="fr-FR"/>
        </w:rPr>
        <w:t>’</w:t>
      </w:r>
      <w:r w:rsidRPr="005D3CD5">
        <w:rPr>
          <w:lang w:val="fr-FR"/>
        </w:rPr>
        <w:t>immigration et les normes sur le statut des étrangers</w:t>
      </w:r>
      <w:r w:rsidR="00144949" w:rsidRPr="005D3CD5">
        <w:rPr>
          <w:lang w:val="fr-FR"/>
        </w:rPr>
        <w:t> »)</w:t>
      </w:r>
    </w:p>
    <w:p w:rsidR="004B696F" w:rsidRPr="005D3CD5" w:rsidRDefault="00996C8A" w:rsidP="005D3CD5">
      <w:pPr>
        <w:pStyle w:val="ECHRPara"/>
        <w:rPr>
          <w:rFonts w:eastAsia="Times New Roman"/>
          <w:lang w:val="fr-FR"/>
        </w:rPr>
      </w:pPr>
      <w:r w:rsidRPr="005D3CD5">
        <w:rPr>
          <w:rFonts w:eastAsia="Times New Roman"/>
        </w:rPr>
        <w:fldChar w:fldCharType="begin"/>
      </w:r>
      <w:r w:rsidRPr="005D3CD5">
        <w:rPr>
          <w:rFonts w:eastAsia="Times New Roman"/>
          <w:lang w:val="fr-FR"/>
        </w:rPr>
        <w:instrText xml:space="preserve"> SEQ level0 \*arabic </w:instrText>
      </w:r>
      <w:r w:rsidRPr="005D3CD5">
        <w:rPr>
          <w:rFonts w:eastAsia="Times New Roman"/>
        </w:rPr>
        <w:fldChar w:fldCharType="separate"/>
      </w:r>
      <w:r w:rsidR="005D3CD5" w:rsidRPr="005D3CD5">
        <w:rPr>
          <w:rFonts w:eastAsia="Times New Roman"/>
          <w:noProof/>
          <w:lang w:val="fr-FR"/>
        </w:rPr>
        <w:t>20</w:t>
      </w:r>
      <w:r w:rsidRPr="005D3CD5">
        <w:rPr>
          <w:rFonts w:eastAsia="Times New Roman"/>
        </w:rPr>
        <w:fldChar w:fldCharType="end"/>
      </w:r>
      <w:r w:rsidRPr="005D3CD5">
        <w:rPr>
          <w:rFonts w:eastAsia="Times New Roman"/>
          <w:lang w:val="fr-FR"/>
        </w:rPr>
        <w:t>.  </w:t>
      </w:r>
      <w:r w:rsidR="004B696F" w:rsidRPr="005D3CD5">
        <w:rPr>
          <w:rFonts w:eastAsia="Times New Roman"/>
          <w:lang w:val="fr-FR"/>
        </w:rPr>
        <w:t>Aux termes de l</w:t>
      </w:r>
      <w:r w:rsidR="005D3CD5" w:rsidRPr="005D3CD5">
        <w:rPr>
          <w:rFonts w:eastAsia="Times New Roman"/>
          <w:lang w:val="fr-FR"/>
        </w:rPr>
        <w:t>’</w:t>
      </w:r>
      <w:r w:rsidR="004B696F" w:rsidRPr="005D3CD5">
        <w:rPr>
          <w:rFonts w:eastAsia="Times New Roman"/>
          <w:lang w:val="fr-FR"/>
        </w:rPr>
        <w:t xml:space="preserve">article 5 du </w:t>
      </w:r>
      <w:r w:rsidR="004B696F" w:rsidRPr="005D3CD5">
        <w:rPr>
          <w:rFonts w:eastAsia="Times New Roman"/>
          <w:bCs/>
          <w:lang w:val="fr-FR"/>
        </w:rPr>
        <w:t>décret-loi n</w:t>
      </w:r>
      <w:r w:rsidR="004B696F" w:rsidRPr="005D3CD5">
        <w:rPr>
          <w:rFonts w:eastAsia="Times New Roman"/>
          <w:bCs/>
          <w:vertAlign w:val="superscript"/>
          <w:lang w:val="fr-FR"/>
        </w:rPr>
        <w:t xml:space="preserve">o </w:t>
      </w:r>
      <w:r w:rsidR="004B696F" w:rsidRPr="005D3CD5">
        <w:rPr>
          <w:rFonts w:eastAsia="Times New Roman"/>
          <w:bCs/>
          <w:lang w:val="fr-FR"/>
        </w:rPr>
        <w:t>286/98</w:t>
      </w:r>
      <w:r w:rsidR="004B696F" w:rsidRPr="005D3CD5">
        <w:rPr>
          <w:rFonts w:eastAsia="Times New Roman"/>
          <w:lang w:val="fr-FR"/>
        </w:rPr>
        <w:t> :</w:t>
      </w:r>
    </w:p>
    <w:p w:rsidR="00996C8A" w:rsidRPr="005D3CD5" w:rsidRDefault="005D3CD5" w:rsidP="005D3CD5">
      <w:pPr>
        <w:pStyle w:val="ECHRParaQuote"/>
        <w:rPr>
          <w:rFonts w:eastAsia="Times New Roman"/>
          <w:lang w:val="fr-FR"/>
        </w:rPr>
      </w:pPr>
      <w:r w:rsidRPr="005D3CD5">
        <w:rPr>
          <w:rFonts w:eastAsia="Times New Roman"/>
          <w:lang w:val="fr-FR"/>
        </w:rPr>
        <w:t>« </w:t>
      </w:r>
      <w:r w:rsidR="00996C8A" w:rsidRPr="005D3CD5">
        <w:rPr>
          <w:rFonts w:eastAsia="Times New Roman"/>
          <w:lang w:val="fr-FR"/>
        </w:rPr>
        <w:t>L</w:t>
      </w:r>
      <w:r w:rsidRPr="005D3CD5">
        <w:rPr>
          <w:rFonts w:eastAsia="Times New Roman"/>
          <w:lang w:val="fr-FR"/>
        </w:rPr>
        <w:t>’</w:t>
      </w:r>
      <w:r w:rsidR="00996C8A" w:rsidRPr="005D3CD5">
        <w:rPr>
          <w:rFonts w:eastAsia="Times New Roman"/>
          <w:lang w:val="fr-FR"/>
        </w:rPr>
        <w:t>étranger qui est resté sur le territoire de l</w:t>
      </w:r>
      <w:r w:rsidRPr="005D3CD5">
        <w:rPr>
          <w:rFonts w:eastAsia="Times New Roman"/>
          <w:lang w:val="fr-FR"/>
        </w:rPr>
        <w:t>’</w:t>
      </w:r>
      <w:r w:rsidR="004B696F" w:rsidRPr="005D3CD5">
        <w:rPr>
          <w:rFonts w:eastAsia="Times New Roman"/>
          <w:lang w:val="fr-FR"/>
        </w:rPr>
        <w:t>État</w:t>
      </w:r>
      <w:r w:rsidR="00996C8A" w:rsidRPr="005D3CD5">
        <w:rPr>
          <w:rFonts w:eastAsia="Times New Roman"/>
          <w:lang w:val="fr-FR"/>
        </w:rPr>
        <w:t xml:space="preserve"> alors que son permis de séjour a expiré depuis plus de soixante jours </w:t>
      </w:r>
      <w:r w:rsidR="004B696F" w:rsidRPr="005D3CD5">
        <w:rPr>
          <w:rFonts w:eastAsia="Times New Roman"/>
          <w:lang w:val="fr-FR"/>
        </w:rPr>
        <w:t>sans qu</w:t>
      </w:r>
      <w:r w:rsidRPr="005D3CD5">
        <w:rPr>
          <w:rFonts w:eastAsia="Times New Roman"/>
          <w:lang w:val="fr-FR"/>
        </w:rPr>
        <w:t>’</w:t>
      </w:r>
      <w:r w:rsidR="004B696F" w:rsidRPr="005D3CD5">
        <w:rPr>
          <w:rFonts w:eastAsia="Times New Roman"/>
          <w:lang w:val="fr-FR"/>
        </w:rPr>
        <w:t>une demande de</w:t>
      </w:r>
      <w:r w:rsidR="00996C8A" w:rsidRPr="005D3CD5">
        <w:rPr>
          <w:rFonts w:eastAsia="Times New Roman"/>
          <w:lang w:val="fr-FR"/>
        </w:rPr>
        <w:t xml:space="preserve"> renouvellement </w:t>
      </w:r>
      <w:r w:rsidR="004B696F" w:rsidRPr="005D3CD5">
        <w:rPr>
          <w:rFonts w:eastAsia="Times New Roman"/>
          <w:lang w:val="fr-FR"/>
        </w:rPr>
        <w:t>ait été formulée f</w:t>
      </w:r>
      <w:r w:rsidR="00996C8A" w:rsidRPr="005D3CD5">
        <w:rPr>
          <w:rFonts w:eastAsia="Times New Roman"/>
          <w:lang w:val="fr-FR"/>
        </w:rPr>
        <w:t>ait l</w:t>
      </w:r>
      <w:r w:rsidRPr="005D3CD5">
        <w:rPr>
          <w:rFonts w:eastAsia="Times New Roman"/>
          <w:lang w:val="fr-FR"/>
        </w:rPr>
        <w:t>’</w:t>
      </w:r>
      <w:r w:rsidR="00996C8A" w:rsidRPr="005D3CD5">
        <w:rPr>
          <w:rFonts w:eastAsia="Times New Roman"/>
          <w:lang w:val="fr-FR"/>
        </w:rPr>
        <w:t>objet d</w:t>
      </w:r>
      <w:r w:rsidRPr="005D3CD5">
        <w:rPr>
          <w:rFonts w:eastAsia="Times New Roman"/>
          <w:lang w:val="fr-FR"/>
        </w:rPr>
        <w:t>’</w:t>
      </w:r>
      <w:r w:rsidR="00996C8A" w:rsidRPr="005D3CD5">
        <w:rPr>
          <w:rFonts w:eastAsia="Times New Roman"/>
          <w:lang w:val="fr-FR"/>
        </w:rPr>
        <w:t>une mesure d</w:t>
      </w:r>
      <w:r w:rsidRPr="005D3CD5">
        <w:rPr>
          <w:rFonts w:eastAsia="Times New Roman"/>
          <w:lang w:val="fr-FR"/>
        </w:rPr>
        <w:t>’</w:t>
      </w:r>
      <w:r w:rsidR="00996C8A" w:rsidRPr="005D3CD5">
        <w:rPr>
          <w:rFonts w:eastAsia="Times New Roman"/>
          <w:lang w:val="fr-FR"/>
        </w:rPr>
        <w:t>expulsion contenant l</w:t>
      </w:r>
      <w:r w:rsidRPr="005D3CD5">
        <w:rPr>
          <w:rFonts w:eastAsia="Times New Roman"/>
          <w:lang w:val="fr-FR"/>
        </w:rPr>
        <w:t>’</w:t>
      </w:r>
      <w:r w:rsidR="00996C8A" w:rsidRPr="005D3CD5">
        <w:rPr>
          <w:rFonts w:eastAsia="Times New Roman"/>
          <w:lang w:val="fr-FR"/>
        </w:rPr>
        <w:t>ordre de quitter le territoire de l</w:t>
      </w:r>
      <w:r w:rsidRPr="005D3CD5">
        <w:rPr>
          <w:rFonts w:eastAsia="Times New Roman"/>
          <w:lang w:val="fr-FR"/>
        </w:rPr>
        <w:t>’</w:t>
      </w:r>
      <w:r w:rsidR="004B696F" w:rsidRPr="005D3CD5">
        <w:rPr>
          <w:rFonts w:eastAsia="Times New Roman"/>
          <w:lang w:val="fr-FR"/>
        </w:rPr>
        <w:t>État</w:t>
      </w:r>
      <w:r w:rsidR="00996C8A" w:rsidRPr="005D3CD5">
        <w:rPr>
          <w:rFonts w:eastAsia="Times New Roman"/>
          <w:lang w:val="fr-FR"/>
        </w:rPr>
        <w:t xml:space="preserve"> dans un délai de quinze jours. Lorsque, selon le préfet, il existe un risque de soustraction à l</w:t>
      </w:r>
      <w:r w:rsidRPr="005D3CD5">
        <w:rPr>
          <w:rFonts w:eastAsia="Times New Roman"/>
          <w:lang w:val="fr-FR"/>
        </w:rPr>
        <w:t>’</w:t>
      </w:r>
      <w:r w:rsidR="00996C8A" w:rsidRPr="005D3CD5">
        <w:rPr>
          <w:rFonts w:eastAsia="Times New Roman"/>
          <w:lang w:val="fr-FR"/>
        </w:rPr>
        <w:t>exécution de la mesure d</w:t>
      </w:r>
      <w:r w:rsidRPr="005D3CD5">
        <w:rPr>
          <w:rFonts w:eastAsia="Times New Roman"/>
          <w:lang w:val="fr-FR"/>
        </w:rPr>
        <w:t>’</w:t>
      </w:r>
      <w:r w:rsidR="00996C8A" w:rsidRPr="005D3CD5">
        <w:rPr>
          <w:rFonts w:eastAsia="Times New Roman"/>
          <w:lang w:val="fr-FR"/>
        </w:rPr>
        <w:t>expulsion, le commissaire de police (</w:t>
      </w:r>
      <w:r w:rsidR="00996C8A" w:rsidRPr="005D3CD5">
        <w:rPr>
          <w:rFonts w:eastAsia="Times New Roman"/>
          <w:i/>
          <w:lang w:val="fr-FR"/>
        </w:rPr>
        <w:t>questore</w:t>
      </w:r>
      <w:r w:rsidR="00996C8A" w:rsidRPr="005D3CD5">
        <w:rPr>
          <w:rFonts w:eastAsia="Times New Roman"/>
          <w:lang w:val="fr-FR"/>
        </w:rPr>
        <w:t>) ordonne la reconduite immédiate de l</w:t>
      </w:r>
      <w:r w:rsidRPr="005D3CD5">
        <w:rPr>
          <w:rFonts w:eastAsia="Times New Roman"/>
          <w:lang w:val="fr-FR"/>
        </w:rPr>
        <w:t>’étranger à la frontière. </w:t>
      </w:r>
      <w:r w:rsidR="00996C8A" w:rsidRPr="005D3CD5">
        <w:rPr>
          <w:rFonts w:eastAsia="Times New Roman"/>
          <w:lang w:val="fr-FR"/>
        </w:rPr>
        <w:t>»</w:t>
      </w:r>
    </w:p>
    <w:p w:rsidR="004B696F" w:rsidRPr="005D3CD5" w:rsidRDefault="00E231EB"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21</w:t>
      </w:r>
      <w:r w:rsidRPr="005D3CD5">
        <w:rPr>
          <w:rFonts w:eastAsia="Times New Roman"/>
          <w:lang w:val="fr-FR"/>
        </w:rPr>
        <w:fldChar w:fldCharType="end"/>
      </w:r>
      <w:r w:rsidRPr="005D3CD5">
        <w:rPr>
          <w:rFonts w:eastAsia="Times New Roman"/>
          <w:lang w:val="fr-FR"/>
        </w:rPr>
        <w:t>.  </w:t>
      </w:r>
      <w:r w:rsidR="004B696F" w:rsidRPr="005D3CD5">
        <w:rPr>
          <w:rFonts w:eastAsia="Times New Roman"/>
          <w:lang w:val="fr-FR"/>
        </w:rPr>
        <w:t>L</w:t>
      </w:r>
      <w:r w:rsidR="005D3CD5" w:rsidRPr="005D3CD5">
        <w:rPr>
          <w:rFonts w:eastAsia="Times New Roman"/>
          <w:lang w:val="fr-FR"/>
        </w:rPr>
        <w:t>’</w:t>
      </w:r>
      <w:r w:rsidR="004B696F" w:rsidRPr="005D3CD5">
        <w:rPr>
          <w:rFonts w:eastAsia="Times New Roman"/>
          <w:lang w:val="fr-FR"/>
        </w:rPr>
        <w:t>article 13 du même texte dispose ce qui suit :</w:t>
      </w:r>
    </w:p>
    <w:p w:rsidR="00996C8A" w:rsidRPr="005D3CD5" w:rsidRDefault="005D3CD5" w:rsidP="005D3CD5">
      <w:pPr>
        <w:pStyle w:val="ECHRParaQuote"/>
        <w:rPr>
          <w:rFonts w:eastAsia="Times New Roman"/>
          <w:lang w:val="fr-FR"/>
        </w:rPr>
      </w:pPr>
      <w:r w:rsidRPr="005D3CD5">
        <w:rPr>
          <w:rFonts w:eastAsia="Times New Roman"/>
          <w:lang w:val="fr-FR"/>
        </w:rPr>
        <w:t>« </w:t>
      </w:r>
      <w:r w:rsidR="00996C8A" w:rsidRPr="005D3CD5">
        <w:rPr>
          <w:rFonts w:eastAsia="Times New Roman"/>
          <w:lang w:val="fr-FR"/>
        </w:rPr>
        <w:t>1. Pour des raisons d</w:t>
      </w:r>
      <w:r w:rsidRPr="005D3CD5">
        <w:rPr>
          <w:rFonts w:eastAsia="Times New Roman"/>
          <w:lang w:val="fr-FR"/>
        </w:rPr>
        <w:t>’</w:t>
      </w:r>
      <w:r w:rsidR="00996C8A" w:rsidRPr="005D3CD5">
        <w:rPr>
          <w:rFonts w:eastAsia="Times New Roman"/>
          <w:lang w:val="fr-FR"/>
        </w:rPr>
        <w:t>ordre public ou de sécurité de l</w:t>
      </w:r>
      <w:r w:rsidRPr="005D3CD5">
        <w:rPr>
          <w:rFonts w:eastAsia="Times New Roman"/>
          <w:lang w:val="fr-FR"/>
        </w:rPr>
        <w:t>’</w:t>
      </w:r>
      <w:r w:rsidR="004B696F" w:rsidRPr="005D3CD5">
        <w:rPr>
          <w:rFonts w:eastAsia="Times New Roman"/>
          <w:lang w:val="fr-FR"/>
        </w:rPr>
        <w:t>État</w:t>
      </w:r>
      <w:r w:rsidR="00996C8A" w:rsidRPr="005D3CD5">
        <w:rPr>
          <w:rFonts w:eastAsia="Times New Roman"/>
          <w:lang w:val="fr-FR"/>
        </w:rPr>
        <w:t>, le ministre de l</w:t>
      </w:r>
      <w:r w:rsidRPr="005D3CD5">
        <w:rPr>
          <w:rFonts w:eastAsia="Times New Roman"/>
          <w:lang w:val="fr-FR"/>
        </w:rPr>
        <w:t>’</w:t>
      </w:r>
      <w:r w:rsidR="00996C8A" w:rsidRPr="005D3CD5">
        <w:rPr>
          <w:rFonts w:eastAsia="Times New Roman"/>
          <w:lang w:val="fr-FR"/>
        </w:rPr>
        <w:t>Intérieur peut ordonner l</w:t>
      </w:r>
      <w:r w:rsidRPr="005D3CD5">
        <w:rPr>
          <w:rFonts w:eastAsia="Times New Roman"/>
          <w:lang w:val="fr-FR"/>
        </w:rPr>
        <w:t>’</w:t>
      </w:r>
      <w:r w:rsidR="00996C8A" w:rsidRPr="005D3CD5">
        <w:rPr>
          <w:rFonts w:eastAsia="Times New Roman"/>
          <w:lang w:val="fr-FR"/>
        </w:rPr>
        <w:t>expulsion de l</w:t>
      </w:r>
      <w:r w:rsidRPr="005D3CD5">
        <w:rPr>
          <w:rFonts w:eastAsia="Times New Roman"/>
          <w:lang w:val="fr-FR"/>
        </w:rPr>
        <w:t>’</w:t>
      </w:r>
      <w:r w:rsidR="00996C8A" w:rsidRPr="005D3CD5">
        <w:rPr>
          <w:rFonts w:eastAsia="Times New Roman"/>
          <w:lang w:val="fr-FR"/>
        </w:rPr>
        <w:t>étranger même si celui-ci n</w:t>
      </w:r>
      <w:r w:rsidRPr="005D3CD5">
        <w:rPr>
          <w:rFonts w:eastAsia="Times New Roman"/>
          <w:lang w:val="fr-FR"/>
        </w:rPr>
        <w:t>’</w:t>
      </w:r>
      <w:r w:rsidR="00996C8A" w:rsidRPr="005D3CD5">
        <w:rPr>
          <w:rFonts w:eastAsia="Times New Roman"/>
          <w:lang w:val="fr-FR"/>
        </w:rPr>
        <w:t>est pas résident sur le territoire de l</w:t>
      </w:r>
      <w:r w:rsidRPr="005D3CD5">
        <w:rPr>
          <w:rFonts w:eastAsia="Times New Roman"/>
          <w:lang w:val="fr-FR"/>
        </w:rPr>
        <w:t>’</w:t>
      </w:r>
      <w:r w:rsidR="004B696F" w:rsidRPr="005D3CD5">
        <w:rPr>
          <w:rFonts w:eastAsia="Times New Roman"/>
          <w:lang w:val="fr-FR"/>
        </w:rPr>
        <w:t>État</w:t>
      </w:r>
      <w:r w:rsidR="00996C8A" w:rsidRPr="005D3CD5">
        <w:rPr>
          <w:rFonts w:eastAsia="Times New Roman"/>
          <w:lang w:val="fr-FR"/>
        </w:rPr>
        <w:t>, en informant préalablement le président du Conseil des ministres et le ministre des Affaires étrangères.</w:t>
      </w:r>
    </w:p>
    <w:p w:rsidR="00996C8A" w:rsidRPr="005D3CD5" w:rsidRDefault="00996C8A" w:rsidP="005D3CD5">
      <w:pPr>
        <w:pStyle w:val="ECHRParaQuote"/>
        <w:rPr>
          <w:rFonts w:eastAsia="Times New Roman"/>
          <w:lang w:val="fr-FR"/>
        </w:rPr>
      </w:pPr>
      <w:r w:rsidRPr="005D3CD5">
        <w:rPr>
          <w:rFonts w:eastAsia="Times New Roman"/>
          <w:lang w:val="fr-FR"/>
        </w:rPr>
        <w:t>2. Le préfet ordonne l</w:t>
      </w:r>
      <w:r w:rsidR="005D3CD5" w:rsidRPr="005D3CD5">
        <w:rPr>
          <w:rFonts w:eastAsia="Times New Roman"/>
          <w:lang w:val="fr-FR"/>
        </w:rPr>
        <w:t>’</w:t>
      </w:r>
      <w:r w:rsidRPr="005D3CD5">
        <w:rPr>
          <w:rFonts w:eastAsia="Times New Roman"/>
          <w:lang w:val="fr-FR"/>
        </w:rPr>
        <w:t>expulsion lorsque l</w:t>
      </w:r>
      <w:r w:rsidR="005D3CD5" w:rsidRPr="005D3CD5">
        <w:rPr>
          <w:rFonts w:eastAsia="Times New Roman"/>
          <w:lang w:val="fr-FR"/>
        </w:rPr>
        <w:t>’</w:t>
      </w:r>
      <w:r w:rsidRPr="005D3CD5">
        <w:rPr>
          <w:rFonts w:eastAsia="Times New Roman"/>
          <w:lang w:val="fr-FR"/>
        </w:rPr>
        <w:t>étranger :</w:t>
      </w:r>
    </w:p>
    <w:p w:rsidR="00996C8A" w:rsidRPr="005D3CD5" w:rsidRDefault="00996C8A" w:rsidP="005D3CD5">
      <w:pPr>
        <w:pStyle w:val="ECHRParaQuote"/>
        <w:rPr>
          <w:rFonts w:eastAsia="Times New Roman"/>
          <w:lang w:val="fr-FR"/>
        </w:rPr>
      </w:pPr>
      <w:r w:rsidRPr="005D3CD5">
        <w:rPr>
          <w:rFonts w:eastAsia="Times New Roman"/>
          <w:lang w:val="fr-FR"/>
        </w:rPr>
        <w:t>a) est rentré sur le territoire de l</w:t>
      </w:r>
      <w:r w:rsidR="005D3CD5" w:rsidRPr="005D3CD5">
        <w:rPr>
          <w:rFonts w:eastAsia="Times New Roman"/>
          <w:lang w:val="fr-FR"/>
        </w:rPr>
        <w:t>’</w:t>
      </w:r>
      <w:r w:rsidR="005628B8" w:rsidRPr="005D3CD5">
        <w:rPr>
          <w:rFonts w:eastAsia="Times New Roman"/>
          <w:lang w:val="fr-FR"/>
        </w:rPr>
        <w:t>État</w:t>
      </w:r>
      <w:r w:rsidRPr="005D3CD5">
        <w:rPr>
          <w:rFonts w:eastAsia="Times New Roman"/>
          <w:lang w:val="fr-FR"/>
        </w:rPr>
        <w:t xml:space="preserve"> en se soustrayant aux contrôles de frontière (...)</w:t>
      </w:r>
      <w:r w:rsidR="00664C6A" w:rsidRPr="005D3CD5">
        <w:rPr>
          <w:rFonts w:eastAsia="Times New Roman"/>
          <w:lang w:val="fr-FR"/>
        </w:rPr>
        <w:t> </w:t>
      </w:r>
      <w:r w:rsidRPr="005D3CD5">
        <w:rPr>
          <w:rFonts w:eastAsia="Times New Roman"/>
          <w:lang w:val="fr-FR"/>
        </w:rPr>
        <w:t>;</w:t>
      </w:r>
    </w:p>
    <w:p w:rsidR="00996C8A" w:rsidRPr="005D3CD5" w:rsidRDefault="00996C8A" w:rsidP="005D3CD5">
      <w:pPr>
        <w:pStyle w:val="ECHRParaQuote"/>
        <w:rPr>
          <w:rFonts w:eastAsia="Times New Roman"/>
          <w:lang w:val="fr-FR"/>
        </w:rPr>
      </w:pPr>
      <w:r w:rsidRPr="005D3CD5">
        <w:rPr>
          <w:rFonts w:eastAsia="Times New Roman"/>
          <w:lang w:val="fr-FR"/>
        </w:rPr>
        <w:t>b) est resté sur le territoire de l</w:t>
      </w:r>
      <w:r w:rsidR="005D3CD5" w:rsidRPr="005D3CD5">
        <w:rPr>
          <w:rFonts w:eastAsia="Times New Roman"/>
          <w:lang w:val="fr-FR"/>
        </w:rPr>
        <w:t>’</w:t>
      </w:r>
      <w:r w:rsidR="005628B8" w:rsidRPr="005D3CD5">
        <w:rPr>
          <w:rFonts w:eastAsia="Times New Roman"/>
          <w:lang w:val="fr-FR"/>
        </w:rPr>
        <w:t>État</w:t>
      </w:r>
      <w:r w:rsidRPr="005D3CD5">
        <w:rPr>
          <w:rFonts w:eastAsia="Times New Roman"/>
          <w:lang w:val="fr-FR"/>
        </w:rPr>
        <w:t xml:space="preserve"> sans avoir demandé de permis de séjour dans le délai imparti, sauf si le retard est </w:t>
      </w:r>
      <w:r w:rsidR="005628B8" w:rsidRPr="005D3CD5">
        <w:rPr>
          <w:rFonts w:eastAsia="Times New Roman"/>
          <w:lang w:val="fr-FR"/>
        </w:rPr>
        <w:t>dû</w:t>
      </w:r>
      <w:r w:rsidRPr="005D3CD5">
        <w:rPr>
          <w:rFonts w:eastAsia="Times New Roman"/>
          <w:lang w:val="fr-FR"/>
        </w:rPr>
        <w:t xml:space="preserve"> à des raisons de force majeure, ou bien [</w:t>
      </w:r>
      <w:r w:rsidR="008A612D" w:rsidRPr="005D3CD5">
        <w:rPr>
          <w:rFonts w:eastAsia="Times New Roman"/>
          <w:lang w:val="fr-FR"/>
        </w:rPr>
        <w:t>s</w:t>
      </w:r>
      <w:r w:rsidR="005D3CD5" w:rsidRPr="005D3CD5">
        <w:rPr>
          <w:rFonts w:eastAsia="Times New Roman"/>
          <w:lang w:val="fr-FR"/>
        </w:rPr>
        <w:t>’</w:t>
      </w:r>
      <w:r w:rsidRPr="005D3CD5">
        <w:rPr>
          <w:rFonts w:eastAsia="Times New Roman"/>
          <w:lang w:val="fr-FR"/>
        </w:rPr>
        <w:t xml:space="preserve">y est </w:t>
      </w:r>
      <w:r w:rsidR="008A612D" w:rsidRPr="005D3CD5">
        <w:rPr>
          <w:rFonts w:eastAsia="Times New Roman"/>
          <w:lang w:val="fr-FR"/>
        </w:rPr>
        <w:t>maintenu</w:t>
      </w:r>
      <w:r w:rsidRPr="005D3CD5">
        <w:rPr>
          <w:rFonts w:eastAsia="Times New Roman"/>
          <w:lang w:val="fr-FR"/>
        </w:rPr>
        <w:t>] alors que le permis a été révoqué ou annulé ou qu</w:t>
      </w:r>
      <w:r w:rsidR="005D3CD5" w:rsidRPr="005D3CD5">
        <w:rPr>
          <w:rFonts w:eastAsia="Times New Roman"/>
          <w:lang w:val="fr-FR"/>
        </w:rPr>
        <w:t>’</w:t>
      </w:r>
      <w:r w:rsidRPr="005D3CD5">
        <w:rPr>
          <w:rFonts w:eastAsia="Times New Roman"/>
          <w:lang w:val="fr-FR"/>
        </w:rPr>
        <w:t xml:space="preserve">il </w:t>
      </w:r>
      <w:r w:rsidR="00AC1778" w:rsidRPr="005D3CD5">
        <w:rPr>
          <w:rFonts w:eastAsia="Times New Roman"/>
          <w:lang w:val="fr-FR"/>
        </w:rPr>
        <w:t>a</w:t>
      </w:r>
      <w:r w:rsidRPr="005D3CD5">
        <w:rPr>
          <w:rFonts w:eastAsia="Times New Roman"/>
          <w:lang w:val="fr-FR"/>
        </w:rPr>
        <w:t xml:space="preserve"> expiré depuis plus de soixante jours et que son renouvellement n</w:t>
      </w:r>
      <w:r w:rsidR="005D3CD5" w:rsidRPr="005D3CD5">
        <w:rPr>
          <w:rFonts w:eastAsia="Times New Roman"/>
          <w:lang w:val="fr-FR"/>
        </w:rPr>
        <w:t>’</w:t>
      </w:r>
      <w:r w:rsidRPr="005D3CD5">
        <w:rPr>
          <w:rFonts w:eastAsia="Times New Roman"/>
          <w:lang w:val="fr-FR"/>
        </w:rPr>
        <w:t>a pas été demandé (...)</w:t>
      </w:r>
      <w:r w:rsidR="00AC1778" w:rsidRPr="005D3CD5">
        <w:rPr>
          <w:rFonts w:eastAsia="Times New Roman"/>
          <w:lang w:val="fr-FR"/>
        </w:rPr>
        <w:t> »</w:t>
      </w:r>
    </w:p>
    <w:p w:rsidR="00214CDE"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22</w:t>
      </w:r>
      <w:r w:rsidRPr="005D3CD5">
        <w:rPr>
          <w:rFonts w:eastAsia="Times New Roman"/>
          <w:lang w:val="fr-FR"/>
        </w:rPr>
        <w:fldChar w:fldCharType="end"/>
      </w:r>
      <w:r w:rsidRPr="005D3CD5">
        <w:rPr>
          <w:rFonts w:eastAsia="Times New Roman"/>
          <w:lang w:val="fr-FR"/>
        </w:rPr>
        <w:t>.  </w:t>
      </w:r>
      <w:r w:rsidR="00AC1778" w:rsidRPr="005D3CD5">
        <w:rPr>
          <w:rFonts w:eastAsia="Times New Roman"/>
          <w:lang w:val="fr-FR"/>
        </w:rPr>
        <w:t>L</w:t>
      </w:r>
      <w:r w:rsidR="005D3CD5" w:rsidRPr="005D3CD5">
        <w:rPr>
          <w:rFonts w:eastAsia="Times New Roman"/>
          <w:lang w:val="fr-FR"/>
        </w:rPr>
        <w:t>’</w:t>
      </w:r>
      <w:r w:rsidR="00214CDE" w:rsidRPr="005D3CD5">
        <w:rPr>
          <w:rFonts w:eastAsia="Times New Roman"/>
          <w:lang w:val="fr-FR"/>
        </w:rPr>
        <w:t xml:space="preserve">article 13 susmentionné prévoit également </w:t>
      </w:r>
      <w:r w:rsidR="003A1BA0" w:rsidRPr="005D3CD5">
        <w:rPr>
          <w:rFonts w:eastAsia="Times New Roman"/>
          <w:lang w:val="fr-FR"/>
        </w:rPr>
        <w:t>ce qui suit</w:t>
      </w:r>
      <w:r w:rsidR="00214CDE" w:rsidRPr="005D3CD5">
        <w:rPr>
          <w:rFonts w:eastAsia="Times New Roman"/>
          <w:lang w:val="fr-FR"/>
        </w:rPr>
        <w:t> :</w:t>
      </w:r>
    </w:p>
    <w:p w:rsidR="00996C8A" w:rsidRPr="005D3CD5" w:rsidRDefault="00214CDE" w:rsidP="005D3CD5">
      <w:pPr>
        <w:pStyle w:val="ECHRParaQuote"/>
        <w:rPr>
          <w:rFonts w:eastAsia="Times New Roman"/>
          <w:lang w:val="fr-FR"/>
        </w:rPr>
      </w:pPr>
      <w:r w:rsidRPr="005D3CD5">
        <w:rPr>
          <w:rFonts w:eastAsia="Times New Roman"/>
          <w:lang w:val="fr-FR"/>
        </w:rPr>
        <w:t>« [L</w:t>
      </w:r>
      <w:r w:rsidR="005D3CD5" w:rsidRPr="005D3CD5">
        <w:rPr>
          <w:rFonts w:eastAsia="Times New Roman"/>
          <w:lang w:val="fr-FR"/>
        </w:rPr>
        <w:t>’</w:t>
      </w:r>
      <w:r w:rsidR="00AC1778" w:rsidRPr="005D3CD5">
        <w:rPr>
          <w:rFonts w:eastAsia="Times New Roman"/>
          <w:lang w:val="fr-FR"/>
        </w:rPr>
        <w:t>étranger visé par un</w:t>
      </w:r>
      <w:r w:rsidRPr="005D3CD5">
        <w:rPr>
          <w:rFonts w:eastAsia="Times New Roman"/>
          <w:lang w:val="fr-FR"/>
        </w:rPr>
        <w:t>]</w:t>
      </w:r>
      <w:r w:rsidR="00996C8A" w:rsidRPr="005D3CD5">
        <w:rPr>
          <w:rFonts w:eastAsia="Times New Roman"/>
          <w:lang w:val="fr-FR"/>
        </w:rPr>
        <w:t xml:space="preserve"> décret d</w:t>
      </w:r>
      <w:r w:rsidR="005D3CD5" w:rsidRPr="005D3CD5">
        <w:rPr>
          <w:rFonts w:eastAsia="Times New Roman"/>
          <w:lang w:val="fr-FR"/>
        </w:rPr>
        <w:t>’</w:t>
      </w:r>
      <w:r w:rsidR="00996C8A" w:rsidRPr="005D3CD5">
        <w:rPr>
          <w:rFonts w:eastAsia="Times New Roman"/>
          <w:lang w:val="fr-FR"/>
        </w:rPr>
        <w:t>expulsion peut uniquement présenter un recours devant le juge de paix du lieu où l</w:t>
      </w:r>
      <w:r w:rsidR="005D3CD5" w:rsidRPr="005D3CD5">
        <w:rPr>
          <w:rFonts w:eastAsia="Times New Roman"/>
          <w:lang w:val="fr-FR"/>
        </w:rPr>
        <w:t>’</w:t>
      </w:r>
      <w:r w:rsidR="00996C8A" w:rsidRPr="005D3CD5">
        <w:rPr>
          <w:rFonts w:eastAsia="Times New Roman"/>
          <w:lang w:val="fr-FR"/>
        </w:rPr>
        <w:t xml:space="preserve">autorité </w:t>
      </w:r>
      <w:r w:rsidRPr="005D3CD5">
        <w:rPr>
          <w:rFonts w:eastAsia="Times New Roman"/>
          <w:lang w:val="fr-FR"/>
        </w:rPr>
        <w:t>qui a</w:t>
      </w:r>
      <w:r w:rsidR="00996C8A" w:rsidRPr="005D3CD5">
        <w:rPr>
          <w:rFonts w:eastAsia="Times New Roman"/>
          <w:lang w:val="fr-FR"/>
        </w:rPr>
        <w:t xml:space="preserve"> ordonné l</w:t>
      </w:r>
      <w:r w:rsidR="005D3CD5" w:rsidRPr="005D3CD5">
        <w:rPr>
          <w:rFonts w:eastAsia="Times New Roman"/>
          <w:lang w:val="fr-FR"/>
        </w:rPr>
        <w:t>’</w:t>
      </w:r>
      <w:r w:rsidR="00996C8A" w:rsidRPr="005D3CD5">
        <w:rPr>
          <w:rFonts w:eastAsia="Times New Roman"/>
          <w:lang w:val="fr-FR"/>
        </w:rPr>
        <w:t>expulsion a son siège. Le délai est de soixante jours à partir de la date de la mesure d</w:t>
      </w:r>
      <w:r w:rsidR="005D3CD5" w:rsidRPr="005D3CD5">
        <w:rPr>
          <w:rFonts w:eastAsia="Times New Roman"/>
          <w:lang w:val="fr-FR"/>
        </w:rPr>
        <w:t>’</w:t>
      </w:r>
      <w:r w:rsidR="00996C8A" w:rsidRPr="005D3CD5">
        <w:rPr>
          <w:rFonts w:eastAsia="Times New Roman"/>
          <w:lang w:val="fr-FR"/>
        </w:rPr>
        <w:t xml:space="preserve">expulsion. Le juge de paix fait droit à la demande, ou la rejette, par une décision prise dans les vingt jours à partir du dépôt du recours. </w:t>
      </w:r>
      <w:r w:rsidR="00175972" w:rsidRPr="005D3CD5">
        <w:rPr>
          <w:rFonts w:eastAsia="Times New Roman"/>
          <w:lang w:val="fr-FR"/>
        </w:rPr>
        <w:t>[La requête]</w:t>
      </w:r>
      <w:r w:rsidR="00996C8A" w:rsidRPr="005D3CD5">
        <w:rPr>
          <w:rFonts w:eastAsia="Times New Roman"/>
          <w:lang w:val="fr-FR"/>
        </w:rPr>
        <w:t xml:space="preserve"> peut être signé</w:t>
      </w:r>
      <w:r w:rsidR="00175972" w:rsidRPr="005D3CD5">
        <w:rPr>
          <w:rFonts w:eastAsia="Times New Roman"/>
          <w:lang w:val="fr-FR"/>
        </w:rPr>
        <w:t>e</w:t>
      </w:r>
      <w:r w:rsidR="00996C8A" w:rsidRPr="005D3CD5">
        <w:rPr>
          <w:rFonts w:eastAsia="Times New Roman"/>
          <w:lang w:val="fr-FR"/>
        </w:rPr>
        <w:t xml:space="preserve"> personnellement et être présenté</w:t>
      </w:r>
      <w:r w:rsidR="00175972" w:rsidRPr="005D3CD5">
        <w:rPr>
          <w:rFonts w:eastAsia="Times New Roman"/>
          <w:lang w:val="fr-FR"/>
        </w:rPr>
        <w:t>e</w:t>
      </w:r>
      <w:r w:rsidR="00996C8A" w:rsidRPr="005D3CD5">
        <w:rPr>
          <w:rFonts w:eastAsia="Times New Roman"/>
          <w:lang w:val="fr-FR"/>
        </w:rPr>
        <w:t xml:space="preserve"> par l</w:t>
      </w:r>
      <w:r w:rsidR="005D3CD5" w:rsidRPr="005D3CD5">
        <w:rPr>
          <w:rFonts w:eastAsia="Times New Roman"/>
          <w:lang w:val="fr-FR"/>
        </w:rPr>
        <w:t>’</w:t>
      </w:r>
      <w:r w:rsidR="00996C8A" w:rsidRPr="005D3CD5">
        <w:rPr>
          <w:rFonts w:eastAsia="Times New Roman"/>
          <w:lang w:val="fr-FR"/>
        </w:rPr>
        <w:t>intermédiaire de la représentation diplomatique ou consulaire italienne du pays de destination. (...)</w:t>
      </w:r>
      <w:r w:rsidR="003827BF" w:rsidRPr="005D3CD5">
        <w:rPr>
          <w:rFonts w:ascii="Cambria" w:eastAsia="Times New Roman" w:hAnsi="Cambria" w:cs="Times New Roman"/>
          <w:lang w:val="fr-FR"/>
        </w:rPr>
        <w:t xml:space="preserve"> Le juge doit valider la décision de placement dans les quarante-huit heures par une décision motivée après avoir entendu l</w:t>
      </w:r>
      <w:r w:rsidR="005D3CD5" w:rsidRPr="005D3CD5">
        <w:rPr>
          <w:rFonts w:ascii="Cambria" w:eastAsia="Times New Roman" w:hAnsi="Cambria" w:cs="Times New Roman"/>
          <w:lang w:val="fr-FR"/>
        </w:rPr>
        <w:t>’</w:t>
      </w:r>
      <w:r w:rsidR="003827BF" w:rsidRPr="005D3CD5">
        <w:rPr>
          <w:rFonts w:ascii="Cambria" w:eastAsia="Times New Roman" w:hAnsi="Cambria" w:cs="Times New Roman"/>
          <w:lang w:val="fr-FR"/>
        </w:rPr>
        <w:t>intéressé si celui-ci est présent.</w:t>
      </w:r>
    </w:p>
    <w:p w:rsidR="00996C8A" w:rsidRPr="005D3CD5" w:rsidRDefault="00996C8A" w:rsidP="005D3CD5">
      <w:pPr>
        <w:pStyle w:val="ECHRParaQuote"/>
        <w:rPr>
          <w:rFonts w:eastAsia="Times New Roman"/>
          <w:lang w:val="fr-FR"/>
        </w:rPr>
      </w:pPr>
      <w:r w:rsidRPr="005D3CD5">
        <w:rPr>
          <w:rFonts w:eastAsia="Times New Roman"/>
          <w:lang w:val="fr-FR"/>
        </w:rPr>
        <w:t>L</w:t>
      </w:r>
      <w:r w:rsidR="005D3CD5" w:rsidRPr="005D3CD5">
        <w:rPr>
          <w:rFonts w:eastAsia="Times New Roman"/>
          <w:lang w:val="fr-FR"/>
        </w:rPr>
        <w:t>’</w:t>
      </w:r>
      <w:r w:rsidRPr="005D3CD5">
        <w:rPr>
          <w:rFonts w:eastAsia="Times New Roman"/>
          <w:lang w:val="fr-FR"/>
        </w:rPr>
        <w:t>étranger expulsé ne peut pas revenir sur le territoire de l</w:t>
      </w:r>
      <w:r w:rsidR="005D3CD5" w:rsidRPr="005D3CD5">
        <w:rPr>
          <w:rFonts w:eastAsia="Times New Roman"/>
          <w:lang w:val="fr-FR"/>
        </w:rPr>
        <w:t>’</w:t>
      </w:r>
      <w:r w:rsidR="000106C0" w:rsidRPr="005D3CD5">
        <w:rPr>
          <w:rFonts w:eastAsia="Times New Roman"/>
          <w:lang w:val="fr-FR"/>
        </w:rPr>
        <w:t>État</w:t>
      </w:r>
      <w:r w:rsidRPr="005D3CD5">
        <w:rPr>
          <w:rFonts w:eastAsia="Times New Roman"/>
          <w:lang w:val="fr-FR"/>
        </w:rPr>
        <w:t xml:space="preserve"> sans une autorisation spéciale du ministre de l</w:t>
      </w:r>
      <w:r w:rsidR="005D3CD5" w:rsidRPr="005D3CD5">
        <w:rPr>
          <w:rFonts w:eastAsia="Times New Roman"/>
          <w:lang w:val="fr-FR"/>
        </w:rPr>
        <w:t>’</w:t>
      </w:r>
      <w:r w:rsidRPr="005D3CD5">
        <w:rPr>
          <w:rFonts w:eastAsia="Times New Roman"/>
          <w:lang w:val="fr-FR"/>
        </w:rPr>
        <w:t>Intérieur. En cas de violation de cette disposition, l</w:t>
      </w:r>
      <w:r w:rsidR="005D3CD5" w:rsidRPr="005D3CD5">
        <w:rPr>
          <w:rFonts w:eastAsia="Times New Roman"/>
          <w:lang w:val="fr-FR"/>
        </w:rPr>
        <w:t>’</w:t>
      </w:r>
      <w:r w:rsidRPr="005D3CD5">
        <w:rPr>
          <w:rFonts w:eastAsia="Times New Roman"/>
          <w:lang w:val="fr-FR"/>
        </w:rPr>
        <w:t>étranger est puni de un à quatre ans de réclusion et il est à nouveau expulsé avec reconduite immédiat</w:t>
      </w:r>
      <w:r w:rsidR="005D3CD5" w:rsidRPr="005D3CD5">
        <w:rPr>
          <w:rFonts w:eastAsia="Times New Roman"/>
          <w:lang w:val="fr-FR"/>
        </w:rPr>
        <w:t>e à la frontière. </w:t>
      </w:r>
      <w:r w:rsidRPr="005D3CD5">
        <w:rPr>
          <w:rFonts w:eastAsia="Times New Roman"/>
          <w:lang w:val="fr-FR"/>
        </w:rPr>
        <w:t>»</w:t>
      </w:r>
    </w:p>
    <w:p w:rsidR="000106C0" w:rsidRPr="005D3CD5" w:rsidRDefault="00186578" w:rsidP="005D3CD5">
      <w:pPr>
        <w:pStyle w:val="ECHRPara"/>
        <w:rPr>
          <w:rFonts w:eastAsia="Times New Roman"/>
          <w:bCs/>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23</w:t>
      </w:r>
      <w:r w:rsidRPr="005D3CD5">
        <w:rPr>
          <w:rFonts w:eastAsia="Times New Roman"/>
          <w:lang w:val="fr-FR"/>
        </w:rPr>
        <w:fldChar w:fldCharType="end"/>
      </w:r>
      <w:r w:rsidRPr="005D3CD5">
        <w:rPr>
          <w:rFonts w:eastAsia="Times New Roman"/>
          <w:lang w:val="fr-FR"/>
        </w:rPr>
        <w:t>.  </w:t>
      </w:r>
      <w:r w:rsidR="000106C0" w:rsidRPr="005D3CD5">
        <w:rPr>
          <w:rFonts w:eastAsia="Times New Roman"/>
          <w:lang w:val="fr-FR"/>
        </w:rPr>
        <w:t>L</w:t>
      </w:r>
      <w:r w:rsidR="005D3CD5" w:rsidRPr="005D3CD5">
        <w:rPr>
          <w:rFonts w:eastAsia="Times New Roman"/>
          <w:lang w:val="fr-FR"/>
        </w:rPr>
        <w:t>’</w:t>
      </w:r>
      <w:r w:rsidR="000106C0" w:rsidRPr="005D3CD5">
        <w:rPr>
          <w:rFonts w:eastAsia="Times New Roman"/>
          <w:lang w:val="fr-FR"/>
        </w:rPr>
        <w:t xml:space="preserve">article 14 du </w:t>
      </w:r>
      <w:r w:rsidR="000106C0" w:rsidRPr="005D3CD5">
        <w:rPr>
          <w:rFonts w:eastAsia="Times New Roman"/>
          <w:bCs/>
          <w:lang w:val="fr-FR"/>
        </w:rPr>
        <w:t>décret-loi n</w:t>
      </w:r>
      <w:r w:rsidR="000106C0" w:rsidRPr="005D3CD5">
        <w:rPr>
          <w:rFonts w:eastAsia="Times New Roman"/>
          <w:bCs/>
          <w:vertAlign w:val="superscript"/>
          <w:lang w:val="fr-FR"/>
        </w:rPr>
        <w:t xml:space="preserve">o </w:t>
      </w:r>
      <w:r w:rsidR="000106C0" w:rsidRPr="005D3CD5">
        <w:rPr>
          <w:rFonts w:eastAsia="Times New Roman"/>
          <w:bCs/>
          <w:lang w:val="fr-FR"/>
        </w:rPr>
        <w:t>286/98  est ainsi rédigé dans ses parties pertinentes en l</w:t>
      </w:r>
      <w:r w:rsidR="005D3CD5" w:rsidRPr="005D3CD5">
        <w:rPr>
          <w:rFonts w:eastAsia="Times New Roman"/>
          <w:bCs/>
          <w:lang w:val="fr-FR"/>
        </w:rPr>
        <w:t>’</w:t>
      </w:r>
      <w:r w:rsidR="000106C0" w:rsidRPr="005D3CD5">
        <w:rPr>
          <w:rFonts w:eastAsia="Times New Roman"/>
          <w:bCs/>
          <w:lang w:val="fr-FR"/>
        </w:rPr>
        <w:t>espèce :</w:t>
      </w:r>
    </w:p>
    <w:p w:rsidR="00186578" w:rsidRPr="005D3CD5" w:rsidRDefault="003A1BA0" w:rsidP="005D3CD5">
      <w:pPr>
        <w:pStyle w:val="ECHRParaQuote"/>
        <w:rPr>
          <w:lang w:val="fr-FR"/>
        </w:rPr>
      </w:pPr>
      <w:r w:rsidRPr="005D3CD5">
        <w:rPr>
          <w:lang w:val="fr-FR"/>
        </w:rPr>
        <w:t>« </w:t>
      </w:r>
      <w:r w:rsidR="00186578" w:rsidRPr="005D3CD5">
        <w:rPr>
          <w:lang w:val="fr-FR"/>
        </w:rPr>
        <w:t>1</w:t>
      </w:r>
      <w:r w:rsidRPr="005D3CD5">
        <w:rPr>
          <w:lang w:val="fr-FR"/>
        </w:rPr>
        <w:t>.  </w:t>
      </w:r>
      <w:r w:rsidR="00186578" w:rsidRPr="005D3CD5">
        <w:rPr>
          <w:lang w:val="fr-FR"/>
        </w:rPr>
        <w:t>Lorsqu</w:t>
      </w:r>
      <w:r w:rsidR="005D3CD5" w:rsidRPr="005D3CD5">
        <w:rPr>
          <w:lang w:val="fr-FR"/>
        </w:rPr>
        <w:t>’</w:t>
      </w:r>
      <w:r w:rsidR="00186578" w:rsidRPr="005D3CD5">
        <w:rPr>
          <w:lang w:val="fr-FR"/>
        </w:rPr>
        <w:t>il n</w:t>
      </w:r>
      <w:r w:rsidR="005D3CD5" w:rsidRPr="005D3CD5">
        <w:rPr>
          <w:lang w:val="fr-FR"/>
        </w:rPr>
        <w:t>’</w:t>
      </w:r>
      <w:r w:rsidR="00186578" w:rsidRPr="005D3CD5">
        <w:rPr>
          <w:lang w:val="fr-FR"/>
        </w:rPr>
        <w:t>est pas possible d</w:t>
      </w:r>
      <w:r w:rsidR="005D3CD5" w:rsidRPr="005D3CD5">
        <w:rPr>
          <w:lang w:val="fr-FR"/>
        </w:rPr>
        <w:t>’</w:t>
      </w:r>
      <w:r w:rsidR="00186578" w:rsidRPr="005D3CD5">
        <w:rPr>
          <w:lang w:val="fr-FR"/>
        </w:rPr>
        <w:t>exécuter immédiatement l</w:t>
      </w:r>
      <w:r w:rsidR="005D3CD5" w:rsidRPr="005D3CD5">
        <w:rPr>
          <w:lang w:val="fr-FR"/>
        </w:rPr>
        <w:t>’</w:t>
      </w:r>
      <w:r w:rsidR="00186578" w:rsidRPr="005D3CD5">
        <w:rPr>
          <w:lang w:val="fr-FR"/>
        </w:rPr>
        <w:t>expulsion par la reconduite à la frontière ou le refoulement, en raison de situations transitoires qui font obstacle à la préparation du retour ou de l</w:t>
      </w:r>
      <w:r w:rsidR="005D3CD5" w:rsidRPr="005D3CD5">
        <w:rPr>
          <w:lang w:val="fr-FR"/>
        </w:rPr>
        <w:t>’</w:t>
      </w:r>
      <w:r w:rsidR="00186578" w:rsidRPr="005D3CD5">
        <w:rPr>
          <w:lang w:val="fr-FR"/>
        </w:rPr>
        <w:t xml:space="preserve">éloignement, le </w:t>
      </w:r>
      <w:r w:rsidR="00E267EF" w:rsidRPr="005D3CD5">
        <w:rPr>
          <w:lang w:val="fr-FR"/>
        </w:rPr>
        <w:t>commissaire de police</w:t>
      </w:r>
      <w:r w:rsidR="00186578" w:rsidRPr="005D3CD5">
        <w:rPr>
          <w:lang w:val="fr-FR"/>
        </w:rPr>
        <w:t xml:space="preserve"> </w:t>
      </w:r>
      <w:r w:rsidR="00186578" w:rsidRPr="005D3CD5">
        <w:rPr>
          <w:lang w:val="fr-FR"/>
        </w:rPr>
        <w:lastRenderedPageBreak/>
        <w:t>décide de placer l</w:t>
      </w:r>
      <w:r w:rsidR="005D3CD5" w:rsidRPr="005D3CD5">
        <w:rPr>
          <w:lang w:val="fr-FR"/>
        </w:rPr>
        <w:t>’</w:t>
      </w:r>
      <w:r w:rsidR="00186578" w:rsidRPr="005D3CD5">
        <w:rPr>
          <w:lang w:val="fr-FR"/>
        </w:rPr>
        <w:t xml:space="preserve">étranger en rétention pendant la durée strictement nécessaire dans le centre de rétention le </w:t>
      </w:r>
      <w:r w:rsidR="005D3CD5" w:rsidRPr="005D3CD5">
        <w:rPr>
          <w:lang w:val="fr-FR"/>
        </w:rPr>
        <w:t>plus proche (.</w:t>
      </w:r>
      <w:r w:rsidR="00B504CC" w:rsidRPr="005D3CD5">
        <w:rPr>
          <w:lang w:val="fr-FR"/>
        </w:rPr>
        <w:t>..</w:t>
      </w:r>
      <w:r w:rsidR="005D3CD5" w:rsidRPr="005D3CD5">
        <w:rPr>
          <w:lang w:val="fr-FR"/>
        </w:rPr>
        <w:t>)</w:t>
      </w:r>
    </w:p>
    <w:p w:rsidR="00186578" w:rsidRPr="005D3CD5" w:rsidRDefault="00186578" w:rsidP="005D3CD5">
      <w:pPr>
        <w:pStyle w:val="ECHRParaQuote"/>
        <w:rPr>
          <w:lang w:val="fr-FR"/>
        </w:rPr>
      </w:pPr>
      <w:r w:rsidRPr="005D3CD5">
        <w:rPr>
          <w:lang w:val="fr-FR"/>
        </w:rPr>
        <w:t>3</w:t>
      </w:r>
      <w:r w:rsidR="003A1BA0" w:rsidRPr="005D3CD5">
        <w:rPr>
          <w:lang w:val="fr-FR"/>
        </w:rPr>
        <w:t>.  </w:t>
      </w:r>
      <w:r w:rsidR="00E267EF" w:rsidRPr="005D3CD5">
        <w:rPr>
          <w:lang w:val="fr-FR"/>
        </w:rPr>
        <w:t>L</w:t>
      </w:r>
      <w:r w:rsidRPr="005D3CD5">
        <w:rPr>
          <w:lang w:val="fr-FR"/>
        </w:rPr>
        <w:t xml:space="preserve">e </w:t>
      </w:r>
      <w:r w:rsidR="00E267EF" w:rsidRPr="005D3CD5">
        <w:rPr>
          <w:lang w:val="fr-FR"/>
        </w:rPr>
        <w:t>commissaire de police</w:t>
      </w:r>
      <w:r w:rsidRPr="005D3CD5">
        <w:rPr>
          <w:lang w:val="fr-FR"/>
        </w:rPr>
        <w:t xml:space="preserve"> transmet le dossier au juge de paix pour valid</w:t>
      </w:r>
      <w:r w:rsidR="003B674C" w:rsidRPr="005D3CD5">
        <w:rPr>
          <w:lang w:val="fr-FR"/>
        </w:rPr>
        <w:t xml:space="preserve">ation, </w:t>
      </w:r>
      <w:r w:rsidRPr="005D3CD5">
        <w:rPr>
          <w:lang w:val="fr-FR"/>
        </w:rPr>
        <w:t xml:space="preserve">dans les quarante-huit </w:t>
      </w:r>
      <w:r w:rsidR="006940DD" w:rsidRPr="005D3CD5">
        <w:rPr>
          <w:lang w:val="fr-FR"/>
        </w:rPr>
        <w:t>heures</w:t>
      </w:r>
      <w:r w:rsidR="003B674C" w:rsidRPr="005D3CD5">
        <w:rPr>
          <w:lang w:val="fr-FR"/>
        </w:rPr>
        <w:t>, de</w:t>
      </w:r>
      <w:r w:rsidR="006940DD" w:rsidRPr="005D3CD5">
        <w:rPr>
          <w:lang w:val="fr-FR"/>
        </w:rPr>
        <w:t xml:space="preserve"> la décision de placement.</w:t>
      </w:r>
    </w:p>
    <w:p w:rsidR="00186578" w:rsidRPr="005D3CD5" w:rsidRDefault="00186578" w:rsidP="005D3CD5">
      <w:pPr>
        <w:pStyle w:val="ECHRParaQuote"/>
        <w:rPr>
          <w:lang w:val="fr-FR"/>
        </w:rPr>
      </w:pPr>
      <w:r w:rsidRPr="005D3CD5">
        <w:rPr>
          <w:lang w:val="fr-FR"/>
        </w:rPr>
        <w:t>4</w:t>
      </w:r>
      <w:r w:rsidR="003A1BA0" w:rsidRPr="005D3CD5">
        <w:rPr>
          <w:lang w:val="fr-FR"/>
        </w:rPr>
        <w:t>.</w:t>
      </w:r>
      <w:r w:rsidRPr="005D3CD5">
        <w:rPr>
          <w:lang w:val="fr-FR"/>
        </w:rPr>
        <w:t>  L</w:t>
      </w:r>
      <w:r w:rsidR="005D3CD5" w:rsidRPr="005D3CD5">
        <w:rPr>
          <w:lang w:val="fr-FR"/>
        </w:rPr>
        <w:t>’</w:t>
      </w:r>
      <w:r w:rsidRPr="005D3CD5">
        <w:rPr>
          <w:lang w:val="fr-FR"/>
        </w:rPr>
        <w:t xml:space="preserve">audience </w:t>
      </w:r>
      <w:r w:rsidR="003B674C" w:rsidRPr="005D3CD5">
        <w:rPr>
          <w:lang w:val="fr-FR"/>
        </w:rPr>
        <w:t>[tenue aux fins de</w:t>
      </w:r>
      <w:r w:rsidRPr="005D3CD5">
        <w:rPr>
          <w:lang w:val="fr-FR"/>
        </w:rPr>
        <w:t xml:space="preserve"> valid</w:t>
      </w:r>
      <w:r w:rsidR="003B674C" w:rsidRPr="005D3CD5">
        <w:rPr>
          <w:lang w:val="fr-FR"/>
        </w:rPr>
        <w:t>ation du]</w:t>
      </w:r>
      <w:r w:rsidRPr="005D3CD5">
        <w:rPr>
          <w:lang w:val="fr-FR"/>
        </w:rPr>
        <w:t xml:space="preserve"> placement se déroule en chambre d</w:t>
      </w:r>
      <w:r w:rsidR="003B674C" w:rsidRPr="005D3CD5">
        <w:rPr>
          <w:lang w:val="fr-FR"/>
        </w:rPr>
        <w:t>u</w:t>
      </w:r>
      <w:r w:rsidRPr="005D3CD5">
        <w:rPr>
          <w:lang w:val="fr-FR"/>
        </w:rPr>
        <w:t xml:space="preserve"> conseil avec la participation obligatoire d</w:t>
      </w:r>
      <w:r w:rsidR="005D3CD5" w:rsidRPr="005D3CD5">
        <w:rPr>
          <w:lang w:val="fr-FR"/>
        </w:rPr>
        <w:t>’</w:t>
      </w:r>
      <w:r w:rsidRPr="005D3CD5">
        <w:rPr>
          <w:lang w:val="fr-FR"/>
        </w:rPr>
        <w:t>un avocat. L</w:t>
      </w:r>
      <w:r w:rsidR="005D3CD5" w:rsidRPr="005D3CD5">
        <w:rPr>
          <w:lang w:val="fr-FR"/>
        </w:rPr>
        <w:t>’</w:t>
      </w:r>
      <w:r w:rsidRPr="005D3CD5">
        <w:rPr>
          <w:lang w:val="fr-FR"/>
        </w:rPr>
        <w:t>intéressé doit être informé et conduit à l</w:t>
      </w:r>
      <w:r w:rsidR="005D3CD5" w:rsidRPr="005D3CD5">
        <w:rPr>
          <w:lang w:val="fr-FR"/>
        </w:rPr>
        <w:t>’</w:t>
      </w:r>
      <w:r w:rsidRPr="005D3CD5">
        <w:rPr>
          <w:lang w:val="fr-FR"/>
        </w:rPr>
        <w:t>audience. Le juge doit valider la décision de placement dans les quarante-huit heures par une décision motivée après avoir entendu l</w:t>
      </w:r>
      <w:r w:rsidR="005D3CD5" w:rsidRPr="005D3CD5">
        <w:rPr>
          <w:lang w:val="fr-FR"/>
        </w:rPr>
        <w:t>’</w:t>
      </w:r>
      <w:r w:rsidRPr="005D3CD5">
        <w:rPr>
          <w:lang w:val="fr-FR"/>
        </w:rPr>
        <w:t xml:space="preserve">intéressé si </w:t>
      </w:r>
      <w:r w:rsidR="003B674C" w:rsidRPr="005D3CD5">
        <w:rPr>
          <w:lang w:val="fr-FR"/>
        </w:rPr>
        <w:t xml:space="preserve">celui-ci est </w:t>
      </w:r>
      <w:r w:rsidRPr="005D3CD5">
        <w:rPr>
          <w:lang w:val="fr-FR"/>
        </w:rPr>
        <w:t xml:space="preserve">présent. La décision ne produit pas </w:t>
      </w:r>
      <w:r w:rsidR="003B674C" w:rsidRPr="005D3CD5">
        <w:rPr>
          <w:lang w:val="fr-FR"/>
        </w:rPr>
        <w:t>d</w:t>
      </w:r>
      <w:r w:rsidR="005D3CD5" w:rsidRPr="005D3CD5">
        <w:rPr>
          <w:lang w:val="fr-FR"/>
        </w:rPr>
        <w:t>’</w:t>
      </w:r>
      <w:r w:rsidRPr="005D3CD5">
        <w:rPr>
          <w:lang w:val="fr-FR"/>
        </w:rPr>
        <w:t>effets si elle n</w:t>
      </w:r>
      <w:r w:rsidR="005D3CD5" w:rsidRPr="005D3CD5">
        <w:rPr>
          <w:lang w:val="fr-FR"/>
        </w:rPr>
        <w:t>’</w:t>
      </w:r>
      <w:r w:rsidRPr="005D3CD5">
        <w:rPr>
          <w:lang w:val="fr-FR"/>
        </w:rPr>
        <w:t>est pas validée dans les quarante-huit heures</w:t>
      </w:r>
      <w:r w:rsidR="006940DD" w:rsidRPr="005D3CD5">
        <w:rPr>
          <w:lang w:val="fr-FR"/>
        </w:rPr>
        <w:t>.</w:t>
      </w:r>
    </w:p>
    <w:p w:rsidR="00186578" w:rsidRPr="005D3CD5" w:rsidRDefault="00186578" w:rsidP="005D3CD5">
      <w:pPr>
        <w:pStyle w:val="ECHRParaQuote"/>
        <w:rPr>
          <w:lang w:val="fr-FR"/>
        </w:rPr>
      </w:pPr>
      <w:r w:rsidRPr="005D3CD5">
        <w:rPr>
          <w:lang w:val="fr-FR"/>
        </w:rPr>
        <w:t>5.  La durée de la détention est, dans une première phase, limitée à un maximum de trente jours. À la demande du préfet, la période de détention peut être prolongée de trente jours par le juge si l</w:t>
      </w:r>
      <w:r w:rsidR="005D3CD5" w:rsidRPr="005D3CD5">
        <w:rPr>
          <w:lang w:val="fr-FR"/>
        </w:rPr>
        <w:t>’</w:t>
      </w:r>
      <w:r w:rsidRPr="005D3CD5">
        <w:rPr>
          <w:lang w:val="fr-FR"/>
        </w:rPr>
        <w:t>administration n</w:t>
      </w:r>
      <w:r w:rsidR="005D3CD5" w:rsidRPr="005D3CD5">
        <w:rPr>
          <w:lang w:val="fr-FR"/>
        </w:rPr>
        <w:t>’</w:t>
      </w:r>
      <w:r w:rsidRPr="005D3CD5">
        <w:rPr>
          <w:lang w:val="fr-FR"/>
        </w:rPr>
        <w:t>a pas réussi à déterminer</w:t>
      </w:r>
      <w:r w:rsidR="00750689" w:rsidRPr="005D3CD5">
        <w:rPr>
          <w:lang w:val="fr-FR"/>
        </w:rPr>
        <w:t xml:space="preserve"> </w:t>
      </w:r>
      <w:r w:rsidRPr="005D3CD5">
        <w:rPr>
          <w:lang w:val="fr-FR"/>
        </w:rPr>
        <w:t>l</w:t>
      </w:r>
      <w:r w:rsidR="005D3CD5" w:rsidRPr="005D3CD5">
        <w:rPr>
          <w:lang w:val="fr-FR"/>
        </w:rPr>
        <w:t>’</w:t>
      </w:r>
      <w:r w:rsidRPr="005D3CD5">
        <w:rPr>
          <w:lang w:val="fr-FR"/>
        </w:rPr>
        <w:t>identité et la nationalité de la personne ou si l</w:t>
      </w:r>
      <w:r w:rsidR="005D3CD5" w:rsidRPr="005D3CD5">
        <w:rPr>
          <w:lang w:val="fr-FR"/>
        </w:rPr>
        <w:t>’</w:t>
      </w:r>
      <w:r w:rsidRPr="005D3CD5">
        <w:rPr>
          <w:lang w:val="fr-FR"/>
        </w:rPr>
        <w:t>expulsion n</w:t>
      </w:r>
      <w:r w:rsidR="005D3CD5" w:rsidRPr="005D3CD5">
        <w:rPr>
          <w:lang w:val="fr-FR"/>
        </w:rPr>
        <w:t>’</w:t>
      </w:r>
      <w:r w:rsidRPr="005D3CD5">
        <w:rPr>
          <w:lang w:val="fr-FR"/>
        </w:rPr>
        <w:t>a pas pu avoir lieu pour des raisons techniques.</w:t>
      </w:r>
    </w:p>
    <w:p w:rsidR="00186578" w:rsidRPr="005D3CD5" w:rsidRDefault="00186578" w:rsidP="005D3CD5">
      <w:pPr>
        <w:pStyle w:val="ECHRParaQuote"/>
        <w:rPr>
          <w:lang w:val="fr-FR"/>
        </w:rPr>
      </w:pPr>
      <w:r w:rsidRPr="005D3CD5">
        <w:rPr>
          <w:lang w:val="fr-FR"/>
        </w:rPr>
        <w:t>6. </w:t>
      </w:r>
      <w:r w:rsidR="00DE6131" w:rsidRPr="005D3CD5">
        <w:rPr>
          <w:lang w:val="fr-FR"/>
        </w:rPr>
        <w:t> </w:t>
      </w:r>
      <w:r w:rsidRPr="005D3CD5">
        <w:rPr>
          <w:lang w:val="fr-FR"/>
        </w:rPr>
        <w:t>Les décisions de placement et de prolongation peuvent faire l</w:t>
      </w:r>
      <w:r w:rsidR="005D3CD5" w:rsidRPr="005D3CD5">
        <w:rPr>
          <w:lang w:val="fr-FR"/>
        </w:rPr>
        <w:t>’</w:t>
      </w:r>
      <w:r w:rsidRPr="005D3CD5">
        <w:rPr>
          <w:lang w:val="fr-FR"/>
        </w:rPr>
        <w:t>objet d</w:t>
      </w:r>
      <w:r w:rsidR="005D3CD5" w:rsidRPr="005D3CD5">
        <w:rPr>
          <w:lang w:val="fr-FR"/>
        </w:rPr>
        <w:t>’</w:t>
      </w:r>
      <w:r w:rsidRPr="005D3CD5">
        <w:rPr>
          <w:lang w:val="fr-FR"/>
        </w:rPr>
        <w:t>un recours non suspensif en cassation.</w:t>
      </w:r>
      <w:r w:rsidR="003B674C" w:rsidRPr="005D3CD5">
        <w:rPr>
          <w:lang w:val="fr-FR"/>
        </w:rPr>
        <w:t> »</w:t>
      </w:r>
    </w:p>
    <w:p w:rsidR="00996C8A" w:rsidRPr="005D3CD5" w:rsidRDefault="00996C8A" w:rsidP="005D3CD5">
      <w:pPr>
        <w:pStyle w:val="ECHRHeading2"/>
        <w:rPr>
          <w:rFonts w:eastAsia="Times New Roman"/>
          <w:lang w:val="fr-FR"/>
        </w:rPr>
      </w:pPr>
      <w:r w:rsidRPr="005D3CD5">
        <w:rPr>
          <w:rFonts w:eastAsia="Times New Roman"/>
          <w:lang w:val="fr-FR"/>
        </w:rPr>
        <w:t>B.</w:t>
      </w:r>
      <w:r w:rsidR="00DE6131" w:rsidRPr="005D3CD5">
        <w:rPr>
          <w:rFonts w:eastAsia="Times New Roman"/>
          <w:lang w:val="fr-FR"/>
        </w:rPr>
        <w:t>  </w:t>
      </w:r>
      <w:r w:rsidRPr="005D3CD5">
        <w:rPr>
          <w:rFonts w:eastAsia="Times New Roman"/>
          <w:lang w:val="fr-FR"/>
        </w:rPr>
        <w:t>Les dispositions en matière de réparation pour détention irrégulière</w:t>
      </w:r>
      <w:r w:rsidR="00CF077D" w:rsidRPr="005D3CD5">
        <w:rPr>
          <w:rFonts w:eastAsia="Times New Roman"/>
          <w:lang w:val="fr-FR"/>
        </w:rPr>
        <w:t xml:space="preserve"> (ou détention « injuste »)</w:t>
      </w:r>
      <w:r w:rsidR="00EB04D8" w:rsidRPr="005D3CD5">
        <w:rPr>
          <w:rFonts w:eastAsia="Times New Roman"/>
          <w:lang w:val="fr-FR"/>
        </w:rPr>
        <w:t xml:space="preserve"> et la jurisprudence de la Cour constitutionnelle</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24</w:t>
      </w:r>
      <w:r w:rsidRPr="005D3CD5">
        <w:rPr>
          <w:rFonts w:eastAsia="Times New Roman"/>
          <w:lang w:val="fr-FR"/>
        </w:rPr>
        <w:fldChar w:fldCharType="end"/>
      </w:r>
      <w:r w:rsidRPr="005D3CD5">
        <w:rPr>
          <w:rFonts w:eastAsia="Times New Roman"/>
          <w:lang w:val="fr-FR"/>
        </w:rPr>
        <w:t>.  L</w:t>
      </w:r>
      <w:r w:rsidR="005D3CD5" w:rsidRPr="005D3CD5">
        <w:rPr>
          <w:rFonts w:eastAsia="Times New Roman"/>
          <w:lang w:val="fr-FR"/>
        </w:rPr>
        <w:t>’</w:t>
      </w:r>
      <w:r w:rsidRPr="005D3CD5">
        <w:rPr>
          <w:rFonts w:eastAsia="Times New Roman"/>
          <w:lang w:val="fr-FR"/>
        </w:rPr>
        <w:t xml:space="preserve">article 314 du code de procédure pénale </w:t>
      </w:r>
      <w:r w:rsidR="00EE386F" w:rsidRPr="005D3CD5">
        <w:rPr>
          <w:rFonts w:eastAsia="Times New Roman"/>
          <w:lang w:val="fr-FR"/>
        </w:rPr>
        <w:t xml:space="preserve">(CPP) </w:t>
      </w:r>
      <w:r w:rsidRPr="005D3CD5">
        <w:rPr>
          <w:rFonts w:eastAsia="Times New Roman"/>
          <w:lang w:val="fr-FR"/>
        </w:rPr>
        <w:t>prévoit un droit à la réparation dans deux cas distincts : lorsque l</w:t>
      </w:r>
      <w:r w:rsidR="005D3CD5" w:rsidRPr="005D3CD5">
        <w:rPr>
          <w:rFonts w:eastAsia="Times New Roman"/>
          <w:lang w:val="fr-FR"/>
        </w:rPr>
        <w:t>’</w:t>
      </w:r>
      <w:r w:rsidRPr="005D3CD5">
        <w:rPr>
          <w:rFonts w:eastAsia="Times New Roman"/>
          <w:lang w:val="fr-FR"/>
        </w:rPr>
        <w:t xml:space="preserve">accusé est acquitté </w:t>
      </w:r>
      <w:r w:rsidR="002D2EB0" w:rsidRPr="005D3CD5">
        <w:rPr>
          <w:rFonts w:eastAsia="Times New Roman"/>
          <w:lang w:val="fr-FR"/>
        </w:rPr>
        <w:t>à l</w:t>
      </w:r>
      <w:r w:rsidR="005D3CD5" w:rsidRPr="005D3CD5">
        <w:rPr>
          <w:rFonts w:eastAsia="Times New Roman"/>
          <w:lang w:val="fr-FR"/>
        </w:rPr>
        <w:t>’</w:t>
      </w:r>
      <w:r w:rsidR="002D2EB0" w:rsidRPr="005D3CD5">
        <w:rPr>
          <w:rFonts w:eastAsia="Times New Roman"/>
          <w:lang w:val="fr-FR"/>
        </w:rPr>
        <w:t xml:space="preserve">issue de la procédure pénale sur le fond </w:t>
      </w:r>
      <w:r w:rsidRPr="005D3CD5">
        <w:rPr>
          <w:rFonts w:eastAsia="Times New Roman"/>
          <w:lang w:val="fr-FR"/>
        </w:rPr>
        <w:t>(r</w:t>
      </w:r>
      <w:r w:rsidR="00D85308" w:rsidRPr="005D3CD5">
        <w:rPr>
          <w:rFonts w:eastAsia="Times New Roman"/>
          <w:lang w:val="fr-FR"/>
        </w:rPr>
        <w:t>éparation pour injustice dite «</w:t>
      </w:r>
      <w:r w:rsidRPr="005D3CD5">
        <w:rPr>
          <w:rFonts w:eastAsia="Times New Roman"/>
          <w:lang w:val="fr-FR"/>
        </w:rPr>
        <w:t>substantielle</w:t>
      </w:r>
      <w:r w:rsidR="002D2EB0" w:rsidRPr="005D3CD5">
        <w:rPr>
          <w:rFonts w:eastAsia="Times New Roman"/>
          <w:lang w:val="fr-FR"/>
        </w:rPr>
        <w:t> </w:t>
      </w:r>
      <w:r w:rsidRPr="005D3CD5">
        <w:rPr>
          <w:rFonts w:eastAsia="Times New Roman"/>
          <w:lang w:val="fr-FR"/>
        </w:rPr>
        <w:t>», prévue par l</w:t>
      </w:r>
      <w:r w:rsidR="005D3CD5" w:rsidRPr="005D3CD5">
        <w:rPr>
          <w:rFonts w:eastAsia="Times New Roman"/>
          <w:lang w:val="fr-FR"/>
        </w:rPr>
        <w:t>’</w:t>
      </w:r>
      <w:r w:rsidRPr="005D3CD5">
        <w:rPr>
          <w:rFonts w:eastAsia="Times New Roman"/>
          <w:lang w:val="fr-FR"/>
        </w:rPr>
        <w:t>alinéa 1) ou lorsqu</w:t>
      </w:r>
      <w:r w:rsidR="005D3CD5" w:rsidRPr="005D3CD5">
        <w:rPr>
          <w:rFonts w:eastAsia="Times New Roman"/>
          <w:lang w:val="fr-FR"/>
        </w:rPr>
        <w:t>’</w:t>
      </w:r>
      <w:r w:rsidRPr="005D3CD5">
        <w:rPr>
          <w:rFonts w:eastAsia="Times New Roman"/>
          <w:lang w:val="fr-FR"/>
        </w:rPr>
        <w:t>il est établi que le suspect a été placé ou maintenu en détention provisoire au mépris des articles 273 et 280 du CPP (réparation pour injustice dite « formelle », prévue par l</w:t>
      </w:r>
      <w:r w:rsidR="005D3CD5" w:rsidRPr="005D3CD5">
        <w:rPr>
          <w:rFonts w:eastAsia="Times New Roman"/>
          <w:lang w:val="fr-FR"/>
        </w:rPr>
        <w:t>’</w:t>
      </w:r>
      <w:r w:rsidRPr="005D3CD5">
        <w:rPr>
          <w:rFonts w:eastAsia="Times New Roman"/>
          <w:lang w:val="fr-FR"/>
        </w:rPr>
        <w:t>alinéa</w:t>
      </w:r>
      <w:r w:rsidR="00EE386F" w:rsidRPr="005D3CD5">
        <w:rPr>
          <w:rFonts w:eastAsia="Times New Roman"/>
          <w:lang w:val="fr-FR"/>
        </w:rPr>
        <w:t> </w:t>
      </w:r>
      <w:r w:rsidRPr="005D3CD5">
        <w:rPr>
          <w:rFonts w:eastAsia="Times New Roman"/>
          <w:lang w:val="fr-FR"/>
        </w:rPr>
        <w:t>2).</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25</w:t>
      </w:r>
      <w:r w:rsidRPr="005D3CD5">
        <w:rPr>
          <w:rFonts w:eastAsia="Times New Roman"/>
          <w:lang w:val="fr-FR"/>
        </w:rPr>
        <w:fldChar w:fldCharType="end"/>
      </w:r>
      <w:r w:rsidRPr="005D3CD5">
        <w:rPr>
          <w:rFonts w:eastAsia="Times New Roman"/>
          <w:lang w:val="fr-FR"/>
        </w:rPr>
        <w:t>.  L</w:t>
      </w:r>
      <w:r w:rsidR="005D3CD5" w:rsidRPr="005D3CD5">
        <w:rPr>
          <w:rFonts w:eastAsia="Times New Roman"/>
          <w:lang w:val="fr-FR"/>
        </w:rPr>
        <w:t>’</w:t>
      </w:r>
      <w:r w:rsidRPr="005D3CD5">
        <w:rPr>
          <w:rFonts w:eastAsia="Times New Roman"/>
          <w:lang w:val="fr-FR"/>
        </w:rPr>
        <w:t xml:space="preserve">article 314 </w:t>
      </w:r>
      <w:r w:rsidR="00EE386F" w:rsidRPr="005D3CD5">
        <w:rPr>
          <w:rFonts w:eastAsia="Times New Roman"/>
          <w:lang w:val="fr-FR"/>
        </w:rPr>
        <w:t xml:space="preserve">du CPP </w:t>
      </w:r>
      <w:r w:rsidRPr="005D3CD5">
        <w:rPr>
          <w:rFonts w:eastAsia="Times New Roman"/>
          <w:lang w:val="fr-FR"/>
        </w:rPr>
        <w:t>se lit comme suit :</w:t>
      </w:r>
    </w:p>
    <w:p w:rsidR="00996C8A" w:rsidRPr="005D3CD5" w:rsidRDefault="005D3CD5" w:rsidP="005D3CD5">
      <w:pPr>
        <w:pStyle w:val="ECHRParaQuote"/>
        <w:rPr>
          <w:rFonts w:eastAsia="Times New Roman"/>
          <w:lang w:val="fr-FR"/>
        </w:rPr>
      </w:pPr>
      <w:r w:rsidRPr="005D3CD5">
        <w:rPr>
          <w:rFonts w:eastAsia="Times New Roman"/>
          <w:lang w:val="fr-FR"/>
        </w:rPr>
        <w:t>« </w:t>
      </w:r>
      <w:r w:rsidR="00996C8A" w:rsidRPr="005D3CD5">
        <w:rPr>
          <w:rFonts w:eastAsia="Times New Roman"/>
          <w:lang w:val="fr-FR"/>
        </w:rPr>
        <w:t>Quiconque est relaxé par un jugement définitif au motif que les faits reprochés ne se sont pas produits, qu</w:t>
      </w:r>
      <w:r w:rsidRPr="005D3CD5">
        <w:rPr>
          <w:rFonts w:eastAsia="Times New Roman"/>
          <w:lang w:val="fr-FR"/>
        </w:rPr>
        <w:t>’</w:t>
      </w:r>
      <w:r w:rsidR="00996C8A" w:rsidRPr="005D3CD5">
        <w:rPr>
          <w:rFonts w:eastAsia="Times New Roman"/>
          <w:lang w:val="fr-FR"/>
        </w:rPr>
        <w:t>il n</w:t>
      </w:r>
      <w:r w:rsidRPr="005D3CD5">
        <w:rPr>
          <w:rFonts w:eastAsia="Times New Roman"/>
          <w:lang w:val="fr-FR"/>
        </w:rPr>
        <w:t>’</w:t>
      </w:r>
      <w:r w:rsidR="00996C8A" w:rsidRPr="005D3CD5">
        <w:rPr>
          <w:rFonts w:eastAsia="Times New Roman"/>
          <w:lang w:val="fr-FR"/>
        </w:rPr>
        <w:t xml:space="preserve">a pas commis les faits </w:t>
      </w:r>
      <w:r w:rsidR="00EE386F" w:rsidRPr="005D3CD5">
        <w:rPr>
          <w:rFonts w:eastAsia="Times New Roman"/>
          <w:lang w:val="fr-FR"/>
        </w:rPr>
        <w:t xml:space="preserve">ou </w:t>
      </w:r>
      <w:r w:rsidR="00996C8A" w:rsidRPr="005D3CD5">
        <w:rPr>
          <w:rFonts w:eastAsia="Times New Roman"/>
          <w:lang w:val="fr-FR"/>
        </w:rPr>
        <w:t>que les faits ne sont pas constitutifs d</w:t>
      </w:r>
      <w:r w:rsidRPr="005D3CD5">
        <w:rPr>
          <w:rFonts w:eastAsia="Times New Roman"/>
          <w:lang w:val="fr-FR"/>
        </w:rPr>
        <w:t>’</w:t>
      </w:r>
      <w:r w:rsidR="00996C8A" w:rsidRPr="005D3CD5">
        <w:rPr>
          <w:rFonts w:eastAsia="Times New Roman"/>
          <w:lang w:val="fr-FR"/>
        </w:rPr>
        <w:t>une infraction ou ne sont pas érigés en infraction par la loi a droit à une réparation pour la détention provisoire subie, à condition de ne pas avoir provoqué [sa détention] ou contribué à la provoquer intentionnellement ou par faute lourde.</w:t>
      </w:r>
    </w:p>
    <w:p w:rsidR="00996C8A" w:rsidRPr="005D3CD5" w:rsidRDefault="00996C8A" w:rsidP="005D3CD5">
      <w:pPr>
        <w:pStyle w:val="ECHRParaQuote"/>
        <w:rPr>
          <w:rFonts w:eastAsia="Times New Roman"/>
          <w:lang w:val="fr-FR"/>
        </w:rPr>
      </w:pPr>
      <w:r w:rsidRPr="005D3CD5">
        <w:rPr>
          <w:rFonts w:eastAsia="Times New Roman"/>
          <w:lang w:val="fr-FR"/>
        </w:rPr>
        <w:t xml:space="preserve">Le même droit est garanti à toute personne relaxée pour quelque motif que ce soit </w:t>
      </w:r>
      <w:r w:rsidR="002D2EB0" w:rsidRPr="005D3CD5">
        <w:rPr>
          <w:rFonts w:eastAsia="Times New Roman"/>
          <w:lang w:val="fr-FR"/>
        </w:rPr>
        <w:t>et</w:t>
      </w:r>
      <w:r w:rsidRPr="005D3CD5">
        <w:rPr>
          <w:rFonts w:eastAsia="Times New Roman"/>
          <w:lang w:val="fr-FR"/>
        </w:rPr>
        <w:t xml:space="preserve"> à toute personne condamnée qui, au cours du procès, a fait l</w:t>
      </w:r>
      <w:r w:rsidR="005D3CD5" w:rsidRPr="005D3CD5">
        <w:rPr>
          <w:rFonts w:eastAsia="Times New Roman"/>
          <w:lang w:val="fr-FR"/>
        </w:rPr>
        <w:t>’</w:t>
      </w:r>
      <w:r w:rsidRPr="005D3CD5">
        <w:rPr>
          <w:rFonts w:eastAsia="Times New Roman"/>
          <w:lang w:val="fr-FR"/>
        </w:rPr>
        <w:t>objet d</w:t>
      </w:r>
      <w:r w:rsidR="005D3CD5" w:rsidRPr="005D3CD5">
        <w:rPr>
          <w:rFonts w:eastAsia="Times New Roman"/>
          <w:lang w:val="fr-FR"/>
        </w:rPr>
        <w:t>’</w:t>
      </w:r>
      <w:r w:rsidRPr="005D3CD5">
        <w:rPr>
          <w:rFonts w:eastAsia="Times New Roman"/>
          <w:lang w:val="fr-FR"/>
        </w:rPr>
        <w:t>une détention provisoire, lorsqu</w:t>
      </w:r>
      <w:r w:rsidR="005D3CD5" w:rsidRPr="005D3CD5">
        <w:rPr>
          <w:rFonts w:eastAsia="Times New Roman"/>
          <w:lang w:val="fr-FR"/>
        </w:rPr>
        <w:t>’</w:t>
      </w:r>
      <w:r w:rsidRPr="005D3CD5">
        <w:rPr>
          <w:rFonts w:eastAsia="Times New Roman"/>
          <w:lang w:val="fr-FR"/>
        </w:rPr>
        <w:t>il est établi par une décision définitive que l</w:t>
      </w:r>
      <w:r w:rsidR="005D3CD5" w:rsidRPr="005D3CD5">
        <w:rPr>
          <w:rFonts w:eastAsia="Times New Roman"/>
          <w:lang w:val="fr-FR"/>
        </w:rPr>
        <w:t>’</w:t>
      </w:r>
      <w:r w:rsidRPr="005D3CD5">
        <w:rPr>
          <w:rFonts w:eastAsia="Times New Roman"/>
          <w:lang w:val="fr-FR"/>
        </w:rPr>
        <w:t>acte ayant ordonné la mesure a été pris ou prorogé alors que les conditions d</w:t>
      </w:r>
      <w:r w:rsidR="005D3CD5" w:rsidRPr="005D3CD5">
        <w:rPr>
          <w:rFonts w:eastAsia="Times New Roman"/>
          <w:lang w:val="fr-FR"/>
        </w:rPr>
        <w:t>’</w:t>
      </w:r>
      <w:r w:rsidRPr="005D3CD5">
        <w:rPr>
          <w:rFonts w:eastAsia="Times New Roman"/>
          <w:lang w:val="fr-FR"/>
        </w:rPr>
        <w:t>applicabilité prévues aux articles 273 et 280 n</w:t>
      </w:r>
      <w:r w:rsidR="005D3CD5" w:rsidRPr="005D3CD5">
        <w:rPr>
          <w:rFonts w:eastAsia="Times New Roman"/>
          <w:lang w:val="fr-FR"/>
        </w:rPr>
        <w:t>’étaient pas réunies </w:t>
      </w:r>
      <w:r w:rsidRPr="005D3CD5">
        <w:rPr>
          <w:rFonts w:eastAsia="Times New Roman"/>
          <w:lang w:val="fr-FR"/>
        </w:rPr>
        <w:t>»</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26</w:t>
      </w:r>
      <w:r w:rsidRPr="005D3CD5">
        <w:rPr>
          <w:rFonts w:eastAsia="Times New Roman"/>
          <w:lang w:val="fr-FR"/>
        </w:rPr>
        <w:fldChar w:fldCharType="end"/>
      </w:r>
      <w:r w:rsidRPr="005D3CD5">
        <w:rPr>
          <w:rFonts w:eastAsia="Times New Roman"/>
          <w:lang w:val="fr-FR"/>
        </w:rPr>
        <w:t>.  Par son arrêt n</w:t>
      </w:r>
      <w:r w:rsidRPr="005D3CD5">
        <w:rPr>
          <w:rFonts w:eastAsia="Times New Roman"/>
          <w:vertAlign w:val="superscript"/>
          <w:lang w:val="fr-FR"/>
        </w:rPr>
        <w:t xml:space="preserve">o </w:t>
      </w:r>
      <w:r w:rsidRPr="005D3CD5">
        <w:rPr>
          <w:rFonts w:eastAsia="Times New Roman"/>
          <w:lang w:val="fr-FR"/>
        </w:rPr>
        <w:t>310 d</w:t>
      </w:r>
      <w:r w:rsidR="003C5DEE" w:rsidRPr="005D3CD5">
        <w:rPr>
          <w:rFonts w:eastAsia="Times New Roman"/>
          <w:lang w:val="fr-FR"/>
        </w:rPr>
        <w:t>e</w:t>
      </w:r>
      <w:r w:rsidRPr="005D3CD5">
        <w:rPr>
          <w:rFonts w:eastAsia="Times New Roman"/>
          <w:lang w:val="fr-FR"/>
        </w:rPr>
        <w:t xml:space="preserve"> 1996, la Cour </w:t>
      </w:r>
      <w:r w:rsidR="00EE386F" w:rsidRPr="005D3CD5">
        <w:rPr>
          <w:rFonts w:eastAsia="Times New Roman"/>
          <w:lang w:val="fr-FR"/>
        </w:rPr>
        <w:t>c</w:t>
      </w:r>
      <w:r w:rsidRPr="005D3CD5">
        <w:rPr>
          <w:rFonts w:eastAsia="Times New Roman"/>
          <w:lang w:val="fr-FR"/>
        </w:rPr>
        <w:t>onstitutionnelle a établi que, au-delà des cas prévus par l</w:t>
      </w:r>
      <w:r w:rsidR="005D3CD5" w:rsidRPr="005D3CD5">
        <w:rPr>
          <w:rFonts w:eastAsia="Times New Roman"/>
          <w:lang w:val="fr-FR"/>
        </w:rPr>
        <w:t>’</w:t>
      </w:r>
      <w:r w:rsidRPr="005D3CD5">
        <w:rPr>
          <w:rFonts w:eastAsia="Times New Roman"/>
          <w:lang w:val="fr-FR"/>
        </w:rPr>
        <w:t>article 314</w:t>
      </w:r>
      <w:r w:rsidR="00EE386F" w:rsidRPr="005D3CD5">
        <w:rPr>
          <w:rFonts w:eastAsia="Times New Roman"/>
          <w:lang w:val="fr-FR"/>
        </w:rPr>
        <w:t xml:space="preserve"> du</w:t>
      </w:r>
      <w:r w:rsidRPr="005D3CD5">
        <w:rPr>
          <w:rFonts w:eastAsia="Times New Roman"/>
          <w:lang w:val="fr-FR"/>
        </w:rPr>
        <w:t xml:space="preserve"> CPP, les individus ont droit à une réparation également dans le cas où la détention </w:t>
      </w:r>
      <w:r w:rsidR="00194653" w:rsidRPr="005D3CD5">
        <w:rPr>
          <w:rFonts w:eastAsia="Times New Roman"/>
          <w:lang w:val="fr-FR"/>
        </w:rPr>
        <w:t>« </w:t>
      </w:r>
      <w:r w:rsidRPr="005D3CD5">
        <w:rPr>
          <w:rFonts w:eastAsia="Times New Roman"/>
          <w:lang w:val="fr-FR"/>
        </w:rPr>
        <w:t>injuste</w:t>
      </w:r>
      <w:r w:rsidR="00194653" w:rsidRPr="005D3CD5">
        <w:rPr>
          <w:rFonts w:eastAsia="Times New Roman"/>
          <w:lang w:val="fr-FR"/>
        </w:rPr>
        <w:t> »</w:t>
      </w:r>
      <w:r w:rsidRPr="005D3CD5">
        <w:rPr>
          <w:rFonts w:eastAsia="Times New Roman"/>
          <w:lang w:val="fr-FR"/>
        </w:rPr>
        <w:t xml:space="preserve"> est la conséquence </w:t>
      </w:r>
      <w:r w:rsidR="002D2EB0" w:rsidRPr="005D3CD5">
        <w:rPr>
          <w:rFonts w:eastAsia="Times New Roman"/>
          <w:lang w:val="fr-FR"/>
        </w:rPr>
        <w:t>de l</w:t>
      </w:r>
      <w:r w:rsidR="005D3CD5" w:rsidRPr="005D3CD5">
        <w:rPr>
          <w:rFonts w:eastAsia="Times New Roman"/>
          <w:lang w:val="fr-FR"/>
        </w:rPr>
        <w:t>’</w:t>
      </w:r>
      <w:r w:rsidR="002D2EB0" w:rsidRPr="005D3CD5">
        <w:rPr>
          <w:rFonts w:eastAsia="Times New Roman"/>
          <w:lang w:val="fr-FR"/>
        </w:rPr>
        <w:t xml:space="preserve">illégitimité </w:t>
      </w:r>
      <w:r w:rsidRPr="005D3CD5">
        <w:rPr>
          <w:rFonts w:eastAsia="Times New Roman"/>
          <w:lang w:val="fr-FR"/>
        </w:rPr>
        <w:t>d</w:t>
      </w:r>
      <w:r w:rsidR="005D3CD5" w:rsidRPr="005D3CD5">
        <w:rPr>
          <w:rFonts w:eastAsia="Times New Roman"/>
          <w:lang w:val="fr-FR"/>
        </w:rPr>
        <w:t>’</w:t>
      </w:r>
      <w:r w:rsidRPr="005D3CD5">
        <w:rPr>
          <w:rFonts w:eastAsia="Times New Roman"/>
          <w:lang w:val="fr-FR"/>
        </w:rPr>
        <w:t>un ordre d</w:t>
      </w:r>
      <w:r w:rsidR="005D3CD5" w:rsidRPr="005D3CD5">
        <w:rPr>
          <w:rFonts w:eastAsia="Times New Roman"/>
          <w:lang w:val="fr-FR"/>
        </w:rPr>
        <w:t>’</w:t>
      </w:r>
      <w:r w:rsidRPr="005D3CD5">
        <w:rPr>
          <w:rFonts w:eastAsia="Times New Roman"/>
          <w:lang w:val="fr-FR"/>
        </w:rPr>
        <w:t>exécution de la peine. En</w:t>
      </w:r>
      <w:r w:rsidR="001F370A" w:rsidRPr="005D3CD5">
        <w:rPr>
          <w:rFonts w:eastAsia="Times New Roman"/>
          <w:lang w:val="fr-FR"/>
        </w:rPr>
        <w:t>suite</w:t>
      </w:r>
      <w:r w:rsidRPr="005D3CD5">
        <w:rPr>
          <w:rFonts w:eastAsia="Times New Roman"/>
          <w:lang w:val="fr-FR"/>
        </w:rPr>
        <w:t>, dans son arrêt n</w:t>
      </w:r>
      <w:r w:rsidRPr="005D3CD5">
        <w:rPr>
          <w:rFonts w:eastAsia="Times New Roman"/>
          <w:vertAlign w:val="superscript"/>
          <w:lang w:val="fr-FR"/>
        </w:rPr>
        <w:t>o</w:t>
      </w:r>
      <w:r w:rsidRPr="005D3CD5">
        <w:rPr>
          <w:rFonts w:eastAsia="Times New Roman"/>
          <w:lang w:val="fr-FR"/>
        </w:rPr>
        <w:t xml:space="preserve"> 284 d</w:t>
      </w:r>
      <w:r w:rsidR="003C5DEE" w:rsidRPr="005D3CD5">
        <w:rPr>
          <w:rFonts w:eastAsia="Times New Roman"/>
          <w:lang w:val="fr-FR"/>
        </w:rPr>
        <w:t>e</w:t>
      </w:r>
      <w:r w:rsidRPr="005D3CD5">
        <w:rPr>
          <w:rFonts w:eastAsia="Times New Roman"/>
          <w:lang w:val="fr-FR"/>
        </w:rPr>
        <w:t xml:space="preserve"> 2003, la Cour </w:t>
      </w:r>
      <w:r w:rsidR="001F370A" w:rsidRPr="005D3CD5">
        <w:rPr>
          <w:rFonts w:eastAsia="Times New Roman"/>
          <w:lang w:val="fr-FR"/>
        </w:rPr>
        <w:t>c</w:t>
      </w:r>
      <w:r w:rsidRPr="005D3CD5">
        <w:rPr>
          <w:rFonts w:eastAsia="Times New Roman"/>
          <w:lang w:val="fr-FR"/>
        </w:rPr>
        <w:t xml:space="preserve">onstitutionnelle a précisé que le </w:t>
      </w:r>
      <w:r w:rsidRPr="005D3CD5">
        <w:rPr>
          <w:rFonts w:eastAsia="Times New Roman"/>
          <w:lang w:val="fr-FR"/>
        </w:rPr>
        <w:lastRenderedPageBreak/>
        <w:t xml:space="preserve">droit à la réparation pour détention </w:t>
      </w:r>
      <w:r w:rsidR="001F370A" w:rsidRPr="005D3CD5">
        <w:rPr>
          <w:rFonts w:eastAsia="Times New Roman"/>
          <w:lang w:val="fr-FR"/>
        </w:rPr>
        <w:t>« </w:t>
      </w:r>
      <w:r w:rsidRPr="005D3CD5">
        <w:rPr>
          <w:rFonts w:eastAsia="Times New Roman"/>
          <w:lang w:val="fr-FR"/>
        </w:rPr>
        <w:t>injuste</w:t>
      </w:r>
      <w:r w:rsidR="001F370A" w:rsidRPr="005D3CD5">
        <w:rPr>
          <w:rFonts w:eastAsia="Times New Roman"/>
          <w:lang w:val="fr-FR"/>
        </w:rPr>
        <w:t> »</w:t>
      </w:r>
      <w:r w:rsidRPr="005D3CD5">
        <w:rPr>
          <w:rFonts w:eastAsia="Times New Roman"/>
          <w:lang w:val="fr-FR"/>
        </w:rPr>
        <w:t xml:space="preserve"> n</w:t>
      </w:r>
      <w:r w:rsidR="005D3CD5" w:rsidRPr="005D3CD5">
        <w:rPr>
          <w:rFonts w:eastAsia="Times New Roman"/>
          <w:lang w:val="fr-FR"/>
        </w:rPr>
        <w:t>’</w:t>
      </w:r>
      <w:r w:rsidR="001F370A" w:rsidRPr="005D3CD5">
        <w:rPr>
          <w:rFonts w:eastAsia="Times New Roman"/>
          <w:lang w:val="fr-FR"/>
        </w:rPr>
        <w:t>est</w:t>
      </w:r>
      <w:r w:rsidRPr="005D3CD5">
        <w:rPr>
          <w:rFonts w:eastAsia="Times New Roman"/>
          <w:lang w:val="fr-FR"/>
        </w:rPr>
        <w:t xml:space="preserve"> pas exclu pour la seule raison que l</w:t>
      </w:r>
      <w:r w:rsidR="005D3CD5" w:rsidRPr="005D3CD5">
        <w:rPr>
          <w:rFonts w:eastAsia="Times New Roman"/>
          <w:lang w:val="fr-FR"/>
        </w:rPr>
        <w:t>’</w:t>
      </w:r>
      <w:r w:rsidRPr="005D3CD5">
        <w:rPr>
          <w:rFonts w:eastAsia="Times New Roman"/>
          <w:lang w:val="fr-FR"/>
        </w:rPr>
        <w:t>ordre d</w:t>
      </w:r>
      <w:r w:rsidR="005D3CD5" w:rsidRPr="005D3CD5">
        <w:rPr>
          <w:rFonts w:eastAsia="Times New Roman"/>
          <w:lang w:val="fr-FR"/>
        </w:rPr>
        <w:t>’</w:t>
      </w:r>
      <w:r w:rsidRPr="005D3CD5">
        <w:rPr>
          <w:rFonts w:eastAsia="Times New Roman"/>
          <w:lang w:val="fr-FR"/>
        </w:rPr>
        <w:t>exécution est légitime ou que la détention est la conséquence d</w:t>
      </w:r>
      <w:r w:rsidR="005D3CD5" w:rsidRPr="005D3CD5">
        <w:rPr>
          <w:rFonts w:eastAsia="Times New Roman"/>
          <w:lang w:val="fr-FR"/>
        </w:rPr>
        <w:t>’</w:t>
      </w:r>
      <w:r w:rsidRPr="005D3CD5">
        <w:rPr>
          <w:rFonts w:eastAsia="Times New Roman"/>
          <w:lang w:val="fr-FR"/>
        </w:rPr>
        <w:t xml:space="preserve">un comportement légal des autorités internes. </w:t>
      </w:r>
      <w:r w:rsidR="001F370A" w:rsidRPr="005D3CD5">
        <w:rPr>
          <w:rFonts w:eastAsia="Times New Roman"/>
          <w:lang w:val="fr-FR"/>
        </w:rPr>
        <w:t xml:space="preserve">Elle a ainsi souligné que, ce qui importe, </w:t>
      </w:r>
      <w:r w:rsidRPr="005D3CD5">
        <w:rPr>
          <w:rFonts w:eastAsia="Times New Roman"/>
          <w:lang w:val="fr-FR"/>
        </w:rPr>
        <w:t>c</w:t>
      </w:r>
      <w:r w:rsidR="005D3CD5" w:rsidRPr="005D3CD5">
        <w:rPr>
          <w:rFonts w:eastAsia="Times New Roman"/>
          <w:lang w:val="fr-FR"/>
        </w:rPr>
        <w:t>’</w:t>
      </w:r>
      <w:r w:rsidRPr="005D3CD5">
        <w:rPr>
          <w:rFonts w:eastAsia="Times New Roman"/>
          <w:lang w:val="fr-FR"/>
        </w:rPr>
        <w:t>est l</w:t>
      </w:r>
      <w:r w:rsidR="005D3CD5" w:rsidRPr="005D3CD5">
        <w:rPr>
          <w:rFonts w:eastAsia="Times New Roman"/>
          <w:lang w:val="fr-FR"/>
        </w:rPr>
        <w:t>’</w:t>
      </w:r>
      <w:r w:rsidR="001F370A" w:rsidRPr="005D3CD5">
        <w:rPr>
          <w:rFonts w:eastAsia="Times New Roman"/>
          <w:lang w:val="fr-FR"/>
        </w:rPr>
        <w:t>« </w:t>
      </w:r>
      <w:r w:rsidRPr="005D3CD5">
        <w:rPr>
          <w:rFonts w:eastAsia="Times New Roman"/>
          <w:lang w:val="fr-FR"/>
        </w:rPr>
        <w:t>injustice objective</w:t>
      </w:r>
      <w:r w:rsidR="001F370A" w:rsidRPr="005D3CD5">
        <w:rPr>
          <w:rFonts w:eastAsia="Times New Roman"/>
          <w:lang w:val="fr-FR"/>
        </w:rPr>
        <w:t> »</w:t>
      </w:r>
      <w:r w:rsidRPr="005D3CD5">
        <w:rPr>
          <w:rFonts w:eastAsia="Times New Roman"/>
          <w:lang w:val="fr-FR"/>
        </w:rPr>
        <w:t xml:space="preserve"> (</w:t>
      </w:r>
      <w:r w:rsidRPr="005D3CD5">
        <w:rPr>
          <w:rFonts w:eastAsia="Times New Roman"/>
          <w:i/>
          <w:iCs/>
          <w:lang w:val="fr-FR"/>
        </w:rPr>
        <w:t>obiettiva ingiustizia</w:t>
      </w:r>
      <w:r w:rsidRPr="005D3CD5">
        <w:rPr>
          <w:rFonts w:eastAsia="Times New Roman"/>
          <w:lang w:val="fr-FR"/>
        </w:rPr>
        <w:t>) de la privation de liberté.</w:t>
      </w:r>
    </w:p>
    <w:p w:rsidR="00996C8A" w:rsidRPr="005D3CD5" w:rsidRDefault="00996C8A" w:rsidP="005D3CD5">
      <w:pPr>
        <w:pStyle w:val="ECHRHeading2"/>
        <w:rPr>
          <w:rFonts w:eastAsia="Times New Roman"/>
          <w:lang w:val="fr-FR"/>
        </w:rPr>
      </w:pPr>
      <w:r w:rsidRPr="005D3CD5">
        <w:rPr>
          <w:rFonts w:eastAsia="Times New Roman"/>
          <w:lang w:val="fr-FR"/>
        </w:rPr>
        <w:t>C.  La loi n</w:t>
      </w:r>
      <w:r w:rsidR="00B504CC" w:rsidRPr="005D3CD5">
        <w:rPr>
          <w:rFonts w:eastAsia="Times New Roman"/>
          <w:vertAlign w:val="superscript"/>
          <w:lang w:val="fr-FR"/>
        </w:rPr>
        <w:t>o</w:t>
      </w:r>
      <w:r w:rsidRPr="005D3CD5">
        <w:rPr>
          <w:rFonts w:eastAsia="Times New Roman"/>
          <w:lang w:val="fr-FR"/>
        </w:rPr>
        <w:t xml:space="preserve"> 117 du 13 avril 1988 sur la réparation des dommages causés dans l</w:t>
      </w:r>
      <w:r w:rsidR="005D3CD5" w:rsidRPr="005D3CD5">
        <w:rPr>
          <w:rFonts w:eastAsia="Times New Roman"/>
          <w:lang w:val="fr-FR"/>
        </w:rPr>
        <w:t>’</w:t>
      </w:r>
      <w:r w:rsidRPr="005D3CD5">
        <w:rPr>
          <w:rFonts w:eastAsia="Times New Roman"/>
          <w:lang w:val="fr-FR"/>
        </w:rPr>
        <w:t>exercice de fonctions juridictionnelles et la responsabilité civile des magistrats</w:t>
      </w:r>
      <w:r w:rsidR="001F370A" w:rsidRPr="005D3CD5">
        <w:rPr>
          <w:rFonts w:eastAsia="Times New Roman"/>
          <w:lang w:val="fr-FR"/>
        </w:rPr>
        <w:t xml:space="preserve"> (« la loi n</w:t>
      </w:r>
      <w:r w:rsidR="00B504CC" w:rsidRPr="005D3CD5">
        <w:rPr>
          <w:rFonts w:eastAsia="Times New Roman"/>
          <w:vertAlign w:val="superscript"/>
          <w:lang w:val="fr-FR"/>
        </w:rPr>
        <w:t>o</w:t>
      </w:r>
      <w:r w:rsidR="001F370A" w:rsidRPr="005D3CD5">
        <w:rPr>
          <w:rFonts w:eastAsia="Times New Roman"/>
          <w:lang w:val="fr-FR"/>
        </w:rPr>
        <w:t xml:space="preserve"> 117</w:t>
      </w:r>
      <w:r w:rsidR="00BE3D47" w:rsidRPr="005D3CD5">
        <w:rPr>
          <w:rFonts w:eastAsia="Times New Roman"/>
          <w:lang w:val="fr-FR"/>
        </w:rPr>
        <w:t>/88</w:t>
      </w:r>
      <w:r w:rsidR="001F370A" w:rsidRPr="005D3CD5">
        <w:rPr>
          <w:rFonts w:eastAsia="Times New Roman"/>
          <w:lang w:val="fr-FR"/>
        </w:rPr>
        <w:t> »)</w:t>
      </w:r>
    </w:p>
    <w:bookmarkStart w:id="2" w:name="para62"/>
    <w:p w:rsidR="009F210B" w:rsidRPr="005D3CD5" w:rsidRDefault="00996C8A" w:rsidP="005D3CD5">
      <w:pPr>
        <w:pStyle w:val="ECHRPara"/>
        <w:rPr>
          <w:rFonts w:eastAsia="Times New Roman"/>
          <w:lang w:val="fr-FR"/>
        </w:rPr>
      </w:pPr>
      <w:r w:rsidRPr="005D3CD5">
        <w:rPr>
          <w:rFonts w:eastAsia="Times New Roman"/>
        </w:rPr>
        <w:fldChar w:fldCharType="begin"/>
      </w:r>
      <w:r w:rsidRPr="005D3CD5">
        <w:rPr>
          <w:rFonts w:eastAsia="Times New Roman"/>
          <w:lang w:val="fr-FR"/>
        </w:rPr>
        <w:instrText xml:space="preserve"> SEQ level0 \*arabic </w:instrText>
      </w:r>
      <w:r w:rsidRPr="005D3CD5">
        <w:rPr>
          <w:rFonts w:eastAsia="Times New Roman"/>
        </w:rPr>
        <w:fldChar w:fldCharType="separate"/>
      </w:r>
      <w:r w:rsidR="005D3CD5" w:rsidRPr="005D3CD5">
        <w:rPr>
          <w:rFonts w:eastAsia="Times New Roman"/>
          <w:noProof/>
          <w:lang w:val="fr-FR"/>
        </w:rPr>
        <w:t>27</w:t>
      </w:r>
      <w:r w:rsidRPr="005D3CD5">
        <w:rPr>
          <w:rFonts w:eastAsia="Times New Roman"/>
        </w:rPr>
        <w:fldChar w:fldCharType="end"/>
      </w:r>
      <w:bookmarkEnd w:id="2"/>
      <w:r w:rsidRPr="005D3CD5">
        <w:rPr>
          <w:rFonts w:eastAsia="Times New Roman"/>
          <w:lang w:val="fr-FR"/>
        </w:rPr>
        <w:t>.  Aux termes de l</w:t>
      </w:r>
      <w:r w:rsidR="005D3CD5" w:rsidRPr="005D3CD5">
        <w:rPr>
          <w:rFonts w:eastAsia="Times New Roman"/>
          <w:lang w:val="fr-FR"/>
        </w:rPr>
        <w:t>’</w:t>
      </w:r>
      <w:r w:rsidRPr="005D3CD5">
        <w:rPr>
          <w:rFonts w:eastAsia="Times New Roman"/>
          <w:lang w:val="fr-FR"/>
        </w:rPr>
        <w:t xml:space="preserve">article 1, paragraphe 1, de </w:t>
      </w:r>
      <w:r w:rsidR="001F370A" w:rsidRPr="005D3CD5">
        <w:rPr>
          <w:rFonts w:eastAsia="Times New Roman"/>
          <w:lang w:val="fr-FR"/>
        </w:rPr>
        <w:t>la</w:t>
      </w:r>
      <w:r w:rsidRPr="005D3CD5">
        <w:rPr>
          <w:rFonts w:eastAsia="Times New Roman"/>
          <w:lang w:val="fr-FR"/>
        </w:rPr>
        <w:t xml:space="preserve"> loi</w:t>
      </w:r>
      <w:r w:rsidR="001F370A" w:rsidRPr="005D3CD5">
        <w:rPr>
          <w:rFonts w:eastAsia="Times New Roman"/>
          <w:lang w:val="fr-FR"/>
        </w:rPr>
        <w:t xml:space="preserve"> n</w:t>
      </w:r>
      <w:r w:rsidR="00B504CC" w:rsidRPr="005D3CD5">
        <w:rPr>
          <w:rFonts w:eastAsia="Times New Roman"/>
          <w:vertAlign w:val="superscript"/>
          <w:lang w:val="fr-FR"/>
        </w:rPr>
        <w:t>o</w:t>
      </w:r>
      <w:r w:rsidR="001F370A" w:rsidRPr="005D3CD5">
        <w:rPr>
          <w:rFonts w:eastAsia="Times New Roman"/>
          <w:lang w:val="fr-FR"/>
        </w:rPr>
        <w:t> 117</w:t>
      </w:r>
      <w:r w:rsidR="00BE3D47" w:rsidRPr="005D3CD5">
        <w:rPr>
          <w:rFonts w:eastAsia="Times New Roman"/>
          <w:lang w:val="fr-FR"/>
        </w:rPr>
        <w:t>/88</w:t>
      </w:r>
      <w:r w:rsidRPr="005D3CD5">
        <w:rPr>
          <w:rFonts w:eastAsia="Times New Roman"/>
          <w:lang w:val="fr-FR"/>
        </w:rPr>
        <w:t>, celle-ci s</w:t>
      </w:r>
      <w:r w:rsidR="005D3CD5" w:rsidRPr="005D3CD5">
        <w:rPr>
          <w:rFonts w:eastAsia="Times New Roman"/>
          <w:lang w:val="fr-FR"/>
        </w:rPr>
        <w:t>’</w:t>
      </w:r>
      <w:r w:rsidRPr="005D3CD5">
        <w:rPr>
          <w:rFonts w:eastAsia="Times New Roman"/>
          <w:lang w:val="fr-FR"/>
        </w:rPr>
        <w:t>applique « à tous les membres des magistratures de droit commun, administrative, financière, militaire et spéciale, qui exercent une activité juridictionnelle, indépendamment de la nature des fonctions, ainsi qu</w:t>
      </w:r>
      <w:r w:rsidR="005D3CD5" w:rsidRPr="005D3CD5">
        <w:rPr>
          <w:rFonts w:eastAsia="Times New Roman"/>
          <w:lang w:val="fr-FR"/>
        </w:rPr>
        <w:t>’</w:t>
      </w:r>
      <w:r w:rsidRPr="005D3CD5">
        <w:rPr>
          <w:rFonts w:eastAsia="Times New Roman"/>
          <w:lang w:val="fr-FR"/>
        </w:rPr>
        <w:t>aux autres personnes qui participent à l</w:t>
      </w:r>
      <w:r w:rsidR="005D3CD5" w:rsidRPr="005D3CD5">
        <w:rPr>
          <w:rFonts w:eastAsia="Times New Roman"/>
          <w:lang w:val="fr-FR"/>
        </w:rPr>
        <w:t>’</w:t>
      </w:r>
      <w:r w:rsidRPr="005D3CD5">
        <w:rPr>
          <w:rFonts w:eastAsia="Times New Roman"/>
          <w:lang w:val="fr-FR"/>
        </w:rPr>
        <w:t>exercice de la fonction juridictionnelle ».</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28</w:t>
      </w:r>
      <w:r w:rsidRPr="005D3CD5">
        <w:rPr>
          <w:rFonts w:eastAsia="Times New Roman"/>
          <w:lang w:val="fr-FR"/>
        </w:rPr>
        <w:fldChar w:fldCharType="end"/>
      </w:r>
      <w:r w:rsidRPr="005D3CD5">
        <w:rPr>
          <w:rFonts w:eastAsia="Times New Roman"/>
          <w:lang w:val="fr-FR"/>
        </w:rPr>
        <w:t>.  L</w:t>
      </w:r>
      <w:r w:rsidR="005D3CD5" w:rsidRPr="005D3CD5">
        <w:rPr>
          <w:rFonts w:eastAsia="Times New Roman"/>
          <w:lang w:val="fr-FR"/>
        </w:rPr>
        <w:t>’</w:t>
      </w:r>
      <w:r w:rsidRPr="005D3CD5">
        <w:rPr>
          <w:rFonts w:eastAsia="Times New Roman"/>
          <w:lang w:val="fr-FR"/>
        </w:rPr>
        <w:t>article 2 de la loi n</w:t>
      </w:r>
      <w:r w:rsidR="00B504CC" w:rsidRPr="005D3CD5">
        <w:rPr>
          <w:rFonts w:eastAsia="Times New Roman"/>
          <w:vertAlign w:val="superscript"/>
          <w:lang w:val="fr-FR"/>
        </w:rPr>
        <w:t>o</w:t>
      </w:r>
      <w:r w:rsidRPr="005D3CD5">
        <w:rPr>
          <w:rFonts w:eastAsia="Times New Roman"/>
          <w:lang w:val="fr-FR"/>
        </w:rPr>
        <w:t xml:space="preserve"> 117/88 énonce</w:t>
      </w:r>
      <w:r w:rsidR="00937364" w:rsidRPr="005D3CD5">
        <w:rPr>
          <w:rFonts w:eastAsia="Times New Roman"/>
          <w:lang w:val="fr-FR"/>
        </w:rPr>
        <w:t xml:space="preserve"> ce qui suit</w:t>
      </w:r>
      <w:r w:rsidRPr="005D3CD5">
        <w:rPr>
          <w:rFonts w:eastAsia="Times New Roman"/>
          <w:lang w:val="fr-FR"/>
        </w:rPr>
        <w:t> :</w:t>
      </w:r>
    </w:p>
    <w:p w:rsidR="009F210B" w:rsidRPr="005D3CD5" w:rsidRDefault="00996C8A" w:rsidP="005D3CD5">
      <w:pPr>
        <w:pStyle w:val="ECHRParaQuote"/>
        <w:rPr>
          <w:rFonts w:eastAsia="Times New Roman"/>
          <w:lang w:val="fr-FR"/>
        </w:rPr>
      </w:pPr>
      <w:r w:rsidRPr="005D3CD5">
        <w:rPr>
          <w:rFonts w:eastAsia="Times New Roman"/>
          <w:lang w:val="fr-FR"/>
        </w:rPr>
        <w:t>« 1.  Toute personne ayant subi un dommage injustifié en raison d</w:t>
      </w:r>
      <w:r w:rsidR="005D3CD5" w:rsidRPr="005D3CD5">
        <w:rPr>
          <w:rFonts w:eastAsia="Times New Roman"/>
          <w:lang w:val="fr-FR"/>
        </w:rPr>
        <w:t>’</w:t>
      </w:r>
      <w:r w:rsidRPr="005D3CD5">
        <w:rPr>
          <w:rFonts w:eastAsia="Times New Roman"/>
          <w:lang w:val="fr-FR"/>
        </w:rPr>
        <w:t>un comportement, d</w:t>
      </w:r>
      <w:r w:rsidR="005D3CD5" w:rsidRPr="005D3CD5">
        <w:rPr>
          <w:rFonts w:eastAsia="Times New Roman"/>
          <w:lang w:val="fr-FR"/>
        </w:rPr>
        <w:t>’</w:t>
      </w:r>
      <w:r w:rsidRPr="005D3CD5">
        <w:rPr>
          <w:rFonts w:eastAsia="Times New Roman"/>
          <w:lang w:val="fr-FR"/>
        </w:rPr>
        <w:t>un acte ou d</w:t>
      </w:r>
      <w:r w:rsidR="005D3CD5" w:rsidRPr="005D3CD5">
        <w:rPr>
          <w:rFonts w:eastAsia="Times New Roman"/>
          <w:lang w:val="fr-FR"/>
        </w:rPr>
        <w:t>’</w:t>
      </w:r>
      <w:r w:rsidRPr="005D3CD5">
        <w:rPr>
          <w:rFonts w:eastAsia="Times New Roman"/>
          <w:lang w:val="fr-FR"/>
        </w:rPr>
        <w:t>une mesure judiciaire d</w:t>
      </w:r>
      <w:r w:rsidR="005D3CD5" w:rsidRPr="005D3CD5">
        <w:rPr>
          <w:rFonts w:eastAsia="Times New Roman"/>
          <w:lang w:val="fr-FR"/>
        </w:rPr>
        <w:t>’</w:t>
      </w:r>
      <w:r w:rsidRPr="005D3CD5">
        <w:rPr>
          <w:rFonts w:eastAsia="Times New Roman"/>
          <w:lang w:val="fr-FR"/>
        </w:rPr>
        <w:t>un magistrat qui s</w:t>
      </w:r>
      <w:r w:rsidR="005D3CD5" w:rsidRPr="005D3CD5">
        <w:rPr>
          <w:rFonts w:eastAsia="Times New Roman"/>
          <w:lang w:val="fr-FR"/>
        </w:rPr>
        <w:t>’</w:t>
      </w:r>
      <w:r w:rsidRPr="005D3CD5">
        <w:rPr>
          <w:rFonts w:eastAsia="Times New Roman"/>
          <w:lang w:val="fr-FR"/>
        </w:rPr>
        <w:t>est rendu coupable de dol ou de faute grave dans l</w:t>
      </w:r>
      <w:r w:rsidR="005D3CD5" w:rsidRPr="005D3CD5">
        <w:rPr>
          <w:rFonts w:eastAsia="Times New Roman"/>
          <w:lang w:val="fr-FR"/>
        </w:rPr>
        <w:t>’</w:t>
      </w:r>
      <w:r w:rsidRPr="005D3CD5">
        <w:rPr>
          <w:rFonts w:eastAsia="Times New Roman"/>
          <w:lang w:val="fr-FR"/>
        </w:rPr>
        <w:t>exercice de ses fonctions, ou en raison d</w:t>
      </w:r>
      <w:r w:rsidR="005D3CD5" w:rsidRPr="005D3CD5">
        <w:rPr>
          <w:rFonts w:eastAsia="Times New Roman"/>
          <w:lang w:val="fr-FR"/>
        </w:rPr>
        <w:t>’</w:t>
      </w:r>
      <w:r w:rsidRPr="005D3CD5">
        <w:rPr>
          <w:rFonts w:eastAsia="Times New Roman"/>
          <w:lang w:val="fr-FR"/>
        </w:rPr>
        <w:t>un déni de justice, peut agir contre l</w:t>
      </w:r>
      <w:r w:rsidR="005D3CD5" w:rsidRPr="005D3CD5">
        <w:rPr>
          <w:rFonts w:eastAsia="Times New Roman"/>
          <w:lang w:val="fr-FR"/>
        </w:rPr>
        <w:t>’</w:t>
      </w:r>
      <w:r w:rsidRPr="005D3CD5">
        <w:rPr>
          <w:rFonts w:eastAsia="Times New Roman"/>
          <w:lang w:val="fr-FR"/>
        </w:rPr>
        <w:t>État pour obtenir réparation des dommages patrimoniaux qu</w:t>
      </w:r>
      <w:r w:rsidR="005D3CD5" w:rsidRPr="005D3CD5">
        <w:rPr>
          <w:rFonts w:eastAsia="Times New Roman"/>
          <w:lang w:val="fr-FR"/>
        </w:rPr>
        <w:t>’</w:t>
      </w:r>
      <w:r w:rsidRPr="005D3CD5">
        <w:rPr>
          <w:rFonts w:eastAsia="Times New Roman"/>
          <w:lang w:val="fr-FR"/>
        </w:rPr>
        <w:t>elle a subis ainsi que des dommages non patrimoniaux qui découlent de la privation de liberté personnelle.</w:t>
      </w:r>
    </w:p>
    <w:p w:rsidR="009F210B" w:rsidRPr="005D3CD5" w:rsidRDefault="00996C8A" w:rsidP="005D3CD5">
      <w:pPr>
        <w:pStyle w:val="ECHRParaQuote"/>
        <w:rPr>
          <w:rFonts w:eastAsia="Times New Roman"/>
          <w:lang w:val="fr-FR"/>
        </w:rPr>
      </w:pPr>
      <w:r w:rsidRPr="005D3CD5">
        <w:rPr>
          <w:rFonts w:eastAsia="Times New Roman"/>
          <w:lang w:val="fr-FR"/>
        </w:rPr>
        <w:t>2.  Dans l</w:t>
      </w:r>
      <w:r w:rsidR="005D3CD5" w:rsidRPr="005D3CD5">
        <w:rPr>
          <w:rFonts w:eastAsia="Times New Roman"/>
          <w:lang w:val="fr-FR"/>
        </w:rPr>
        <w:t>’</w:t>
      </w:r>
      <w:r w:rsidRPr="005D3CD5">
        <w:rPr>
          <w:rFonts w:eastAsia="Times New Roman"/>
          <w:lang w:val="fr-FR"/>
        </w:rPr>
        <w:t>exercice des fonctions juridictionnelles, l</w:t>
      </w:r>
      <w:r w:rsidR="005D3CD5" w:rsidRPr="005D3CD5">
        <w:rPr>
          <w:rFonts w:eastAsia="Times New Roman"/>
          <w:lang w:val="fr-FR"/>
        </w:rPr>
        <w:t>’</w:t>
      </w:r>
      <w:r w:rsidRPr="005D3CD5">
        <w:rPr>
          <w:rFonts w:eastAsia="Times New Roman"/>
          <w:lang w:val="fr-FR"/>
        </w:rPr>
        <w:t>interprétation des règles de droit et l</w:t>
      </w:r>
      <w:r w:rsidR="005D3CD5" w:rsidRPr="005D3CD5">
        <w:rPr>
          <w:rFonts w:eastAsia="Times New Roman"/>
          <w:lang w:val="fr-FR"/>
        </w:rPr>
        <w:t>’</w:t>
      </w:r>
      <w:r w:rsidRPr="005D3CD5">
        <w:rPr>
          <w:rFonts w:eastAsia="Times New Roman"/>
          <w:lang w:val="fr-FR"/>
        </w:rPr>
        <w:t>appréciation des faits et des preuves ne peuvent pas donner lieu à responsabilité.</w:t>
      </w:r>
    </w:p>
    <w:p w:rsidR="00996C8A" w:rsidRPr="005D3CD5" w:rsidRDefault="00996C8A" w:rsidP="005D3CD5">
      <w:pPr>
        <w:pStyle w:val="ECHRParaQuote"/>
        <w:rPr>
          <w:rFonts w:eastAsia="Times New Roman"/>
          <w:lang w:val="fr-FR"/>
        </w:rPr>
      </w:pPr>
      <w:r w:rsidRPr="005D3CD5">
        <w:rPr>
          <w:rFonts w:eastAsia="Times New Roman"/>
          <w:lang w:val="fr-FR"/>
        </w:rPr>
        <w:t>3.  Sont constitutifs d</w:t>
      </w:r>
      <w:r w:rsidR="005D3CD5" w:rsidRPr="005D3CD5">
        <w:rPr>
          <w:rFonts w:eastAsia="Times New Roman"/>
          <w:lang w:val="fr-FR"/>
        </w:rPr>
        <w:t>’</w:t>
      </w:r>
      <w:r w:rsidRPr="005D3CD5">
        <w:rPr>
          <w:rFonts w:eastAsia="Times New Roman"/>
          <w:lang w:val="fr-FR"/>
        </w:rPr>
        <w:t>une faute grave :</w:t>
      </w:r>
    </w:p>
    <w:p w:rsidR="00996C8A" w:rsidRPr="005D3CD5" w:rsidRDefault="00996C8A" w:rsidP="005D3CD5">
      <w:pPr>
        <w:pStyle w:val="ECHRParaQuote"/>
        <w:rPr>
          <w:rFonts w:eastAsia="Times New Roman"/>
          <w:lang w:val="fr-FR"/>
        </w:rPr>
      </w:pPr>
      <w:r w:rsidRPr="005D3CD5">
        <w:rPr>
          <w:rFonts w:eastAsia="Times New Roman"/>
          <w:lang w:val="fr-FR"/>
        </w:rPr>
        <w:t>a)  une violation grave de la loi résultant d</w:t>
      </w:r>
      <w:r w:rsidR="005D3CD5" w:rsidRPr="005D3CD5">
        <w:rPr>
          <w:rFonts w:eastAsia="Times New Roman"/>
          <w:lang w:val="fr-FR"/>
        </w:rPr>
        <w:t>’</w:t>
      </w:r>
      <w:r w:rsidRPr="005D3CD5">
        <w:rPr>
          <w:rFonts w:eastAsia="Times New Roman"/>
          <w:lang w:val="fr-FR"/>
        </w:rPr>
        <w:t>une négligence inexcusable ;</w:t>
      </w:r>
    </w:p>
    <w:p w:rsidR="009F210B" w:rsidRPr="005D3CD5" w:rsidRDefault="00996C8A" w:rsidP="005D3CD5">
      <w:pPr>
        <w:pStyle w:val="ECHRParaQuote"/>
        <w:rPr>
          <w:rFonts w:eastAsia="Times New Roman"/>
          <w:lang w:val="fr-FR"/>
        </w:rPr>
      </w:pPr>
      <w:r w:rsidRPr="005D3CD5">
        <w:rPr>
          <w:rFonts w:eastAsia="Times New Roman"/>
          <w:lang w:val="fr-FR"/>
        </w:rPr>
        <w:t>b)  l</w:t>
      </w:r>
      <w:r w:rsidR="005D3CD5" w:rsidRPr="005D3CD5">
        <w:rPr>
          <w:rFonts w:eastAsia="Times New Roman"/>
          <w:lang w:val="fr-FR"/>
        </w:rPr>
        <w:t>’</w:t>
      </w:r>
      <w:r w:rsidRPr="005D3CD5">
        <w:rPr>
          <w:rFonts w:eastAsia="Times New Roman"/>
          <w:lang w:val="fr-FR"/>
        </w:rPr>
        <w:t>affirmation, due à une négligence inexcusable, d</w:t>
      </w:r>
      <w:r w:rsidR="005D3CD5" w:rsidRPr="005D3CD5">
        <w:rPr>
          <w:rFonts w:eastAsia="Times New Roman"/>
          <w:lang w:val="fr-FR"/>
        </w:rPr>
        <w:t>’</w:t>
      </w:r>
      <w:r w:rsidRPr="005D3CD5">
        <w:rPr>
          <w:rFonts w:eastAsia="Times New Roman"/>
          <w:lang w:val="fr-FR"/>
        </w:rPr>
        <w:t>un fait dont l</w:t>
      </w:r>
      <w:r w:rsidR="005D3CD5" w:rsidRPr="005D3CD5">
        <w:rPr>
          <w:rFonts w:eastAsia="Times New Roman"/>
          <w:lang w:val="fr-FR"/>
        </w:rPr>
        <w:t>’</w:t>
      </w:r>
      <w:r w:rsidRPr="005D3CD5">
        <w:rPr>
          <w:rFonts w:eastAsia="Times New Roman"/>
          <w:lang w:val="fr-FR"/>
        </w:rPr>
        <w:t>existence est incontestablement réfutée par les pièces du dossier ;</w:t>
      </w:r>
    </w:p>
    <w:p w:rsidR="009F210B" w:rsidRPr="005D3CD5" w:rsidRDefault="00996C8A" w:rsidP="005D3CD5">
      <w:pPr>
        <w:pStyle w:val="ECHRParaQuote"/>
        <w:rPr>
          <w:rFonts w:eastAsia="Times New Roman"/>
          <w:lang w:val="fr-FR"/>
        </w:rPr>
      </w:pPr>
      <w:r w:rsidRPr="005D3CD5">
        <w:rPr>
          <w:rFonts w:eastAsia="Times New Roman"/>
          <w:lang w:val="fr-FR"/>
        </w:rPr>
        <w:t>c)  la négation, due à une négligence inexcusable, d</w:t>
      </w:r>
      <w:r w:rsidR="005D3CD5" w:rsidRPr="005D3CD5">
        <w:rPr>
          <w:rFonts w:eastAsia="Times New Roman"/>
          <w:lang w:val="fr-FR"/>
        </w:rPr>
        <w:t>’</w:t>
      </w:r>
      <w:r w:rsidRPr="005D3CD5">
        <w:rPr>
          <w:rFonts w:eastAsia="Times New Roman"/>
          <w:lang w:val="fr-FR"/>
        </w:rPr>
        <w:t>un fait dont l</w:t>
      </w:r>
      <w:r w:rsidR="005D3CD5" w:rsidRPr="005D3CD5">
        <w:rPr>
          <w:rFonts w:eastAsia="Times New Roman"/>
          <w:lang w:val="fr-FR"/>
        </w:rPr>
        <w:t>’</w:t>
      </w:r>
      <w:r w:rsidRPr="005D3CD5">
        <w:rPr>
          <w:rFonts w:eastAsia="Times New Roman"/>
          <w:lang w:val="fr-FR"/>
        </w:rPr>
        <w:t>existence est incontestablement établie par les pièces du dossier ;</w:t>
      </w:r>
    </w:p>
    <w:p w:rsidR="00996C8A" w:rsidRPr="005D3CD5" w:rsidRDefault="00996C8A" w:rsidP="005D3CD5">
      <w:pPr>
        <w:pStyle w:val="ECHRParaQuote"/>
        <w:rPr>
          <w:rFonts w:eastAsia="Times New Roman"/>
          <w:lang w:val="fr-FR"/>
        </w:rPr>
      </w:pPr>
      <w:r w:rsidRPr="005D3CD5">
        <w:rPr>
          <w:rFonts w:eastAsia="Times New Roman"/>
          <w:lang w:val="fr-FR"/>
        </w:rPr>
        <w:t>d)  l</w:t>
      </w:r>
      <w:r w:rsidR="005D3CD5" w:rsidRPr="005D3CD5">
        <w:rPr>
          <w:rFonts w:eastAsia="Times New Roman"/>
          <w:lang w:val="fr-FR"/>
        </w:rPr>
        <w:t>’</w:t>
      </w:r>
      <w:r w:rsidRPr="005D3CD5">
        <w:rPr>
          <w:rFonts w:eastAsia="Times New Roman"/>
          <w:lang w:val="fr-FR"/>
        </w:rPr>
        <w:t>adoption d</w:t>
      </w:r>
      <w:r w:rsidR="005D3CD5" w:rsidRPr="005D3CD5">
        <w:rPr>
          <w:rFonts w:eastAsia="Times New Roman"/>
          <w:lang w:val="fr-FR"/>
        </w:rPr>
        <w:t>’</w:t>
      </w:r>
      <w:r w:rsidRPr="005D3CD5">
        <w:rPr>
          <w:rFonts w:eastAsia="Times New Roman"/>
          <w:lang w:val="fr-FR"/>
        </w:rPr>
        <w:t>une mesure concernant la liberté personnelle en dehors des cas prévus par la loi ou sans motivation. »</w:t>
      </w:r>
    </w:p>
    <w:p w:rsidR="009F210B"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29</w:t>
      </w:r>
      <w:r w:rsidRPr="005D3CD5">
        <w:rPr>
          <w:rFonts w:eastAsia="Times New Roman"/>
          <w:lang w:val="fr-FR"/>
        </w:rPr>
        <w:fldChar w:fldCharType="end"/>
      </w:r>
      <w:r w:rsidRPr="005D3CD5">
        <w:rPr>
          <w:rFonts w:eastAsia="Times New Roman"/>
          <w:lang w:val="fr-FR"/>
        </w:rPr>
        <w:t>.  Aux termes de l</w:t>
      </w:r>
      <w:r w:rsidR="005D3CD5" w:rsidRPr="005D3CD5">
        <w:rPr>
          <w:rFonts w:eastAsia="Times New Roman"/>
          <w:lang w:val="fr-FR"/>
        </w:rPr>
        <w:t>’</w:t>
      </w:r>
      <w:r w:rsidRPr="005D3CD5">
        <w:rPr>
          <w:rFonts w:eastAsia="Times New Roman"/>
          <w:lang w:val="fr-FR"/>
        </w:rPr>
        <w:t>article 3, paragraphe 1, première phrase, de la loi n</w:t>
      </w:r>
      <w:r w:rsidR="00B504CC" w:rsidRPr="005D3CD5">
        <w:rPr>
          <w:rFonts w:eastAsia="Times New Roman"/>
          <w:vertAlign w:val="superscript"/>
          <w:lang w:val="fr-FR"/>
        </w:rPr>
        <w:t>o</w:t>
      </w:r>
      <w:r w:rsidRPr="005D3CD5">
        <w:rPr>
          <w:rFonts w:eastAsia="Times New Roman"/>
          <w:lang w:val="fr-FR"/>
        </w:rPr>
        <w:t> 117/88, constitue</w:t>
      </w:r>
      <w:r w:rsidR="00BE3D47" w:rsidRPr="005D3CD5">
        <w:rPr>
          <w:rFonts w:eastAsia="Times New Roman"/>
          <w:lang w:val="fr-FR"/>
        </w:rPr>
        <w:t>nt</w:t>
      </w:r>
      <w:r w:rsidRPr="005D3CD5">
        <w:rPr>
          <w:rFonts w:eastAsia="Times New Roman"/>
          <w:lang w:val="fr-FR"/>
        </w:rPr>
        <w:t xml:space="preserve"> par ailleurs un déni de justice </w:t>
      </w:r>
      <w:r w:rsidR="00E13A86" w:rsidRPr="005D3CD5">
        <w:rPr>
          <w:rFonts w:eastAsia="Times New Roman"/>
          <w:lang w:val="fr-FR"/>
        </w:rPr>
        <w:t>« </w:t>
      </w:r>
      <w:r w:rsidRPr="005D3CD5">
        <w:rPr>
          <w:rFonts w:eastAsia="Times New Roman"/>
          <w:lang w:val="fr-FR"/>
        </w:rPr>
        <w:t>le refus, l</w:t>
      </w:r>
      <w:r w:rsidR="005D3CD5" w:rsidRPr="005D3CD5">
        <w:rPr>
          <w:rFonts w:eastAsia="Times New Roman"/>
          <w:lang w:val="fr-FR"/>
        </w:rPr>
        <w:t>’</w:t>
      </w:r>
      <w:r w:rsidRPr="005D3CD5">
        <w:rPr>
          <w:rFonts w:eastAsia="Times New Roman"/>
          <w:lang w:val="fr-FR"/>
        </w:rPr>
        <w:t>omission ou le retard du magistrat dans l</w:t>
      </w:r>
      <w:r w:rsidR="005D3CD5" w:rsidRPr="005D3CD5">
        <w:rPr>
          <w:rFonts w:eastAsia="Times New Roman"/>
          <w:lang w:val="fr-FR"/>
        </w:rPr>
        <w:t>’</w:t>
      </w:r>
      <w:r w:rsidRPr="005D3CD5">
        <w:rPr>
          <w:rFonts w:eastAsia="Times New Roman"/>
          <w:lang w:val="fr-FR"/>
        </w:rPr>
        <w:t>accomplissement d</w:t>
      </w:r>
      <w:r w:rsidR="00325236" w:rsidRPr="005D3CD5">
        <w:rPr>
          <w:rFonts w:eastAsia="Times New Roman"/>
          <w:lang w:val="fr-FR"/>
        </w:rPr>
        <w:t xml:space="preserve">es </w:t>
      </w:r>
      <w:r w:rsidRPr="005D3CD5">
        <w:rPr>
          <w:rFonts w:eastAsia="Times New Roman"/>
          <w:lang w:val="fr-FR"/>
        </w:rPr>
        <w:t>acte</w:t>
      </w:r>
      <w:r w:rsidR="00325236" w:rsidRPr="005D3CD5">
        <w:rPr>
          <w:rFonts w:eastAsia="Times New Roman"/>
          <w:lang w:val="fr-FR"/>
        </w:rPr>
        <w:t>s</w:t>
      </w:r>
      <w:r w:rsidRPr="005D3CD5">
        <w:rPr>
          <w:rFonts w:eastAsia="Times New Roman"/>
          <w:lang w:val="fr-FR"/>
        </w:rPr>
        <w:t xml:space="preserve"> relevant de sa compétence</w:t>
      </w:r>
      <w:r w:rsidR="00DE5C71" w:rsidRPr="005D3CD5">
        <w:rPr>
          <w:rFonts w:eastAsia="Times New Roman"/>
          <w:lang w:val="fr-FR"/>
        </w:rPr>
        <w:t xml:space="preserve"> lorsque, </w:t>
      </w:r>
      <w:r w:rsidRPr="005D3CD5">
        <w:rPr>
          <w:rFonts w:eastAsia="Times New Roman"/>
          <w:lang w:val="fr-FR"/>
        </w:rPr>
        <w:t>après expiration du délai légal prévu pour l</w:t>
      </w:r>
      <w:r w:rsidR="005D3CD5" w:rsidRPr="005D3CD5">
        <w:rPr>
          <w:rFonts w:eastAsia="Times New Roman"/>
          <w:lang w:val="fr-FR"/>
        </w:rPr>
        <w:t>’</w:t>
      </w:r>
      <w:r w:rsidRPr="005D3CD5">
        <w:rPr>
          <w:rFonts w:eastAsia="Times New Roman"/>
          <w:lang w:val="fr-FR"/>
        </w:rPr>
        <w:t xml:space="preserve">accomplissement </w:t>
      </w:r>
      <w:r w:rsidR="00937364" w:rsidRPr="005D3CD5">
        <w:rPr>
          <w:rFonts w:eastAsia="Times New Roman"/>
          <w:lang w:val="fr-FR"/>
        </w:rPr>
        <w:t>[d</w:t>
      </w:r>
      <w:r w:rsidR="005D3CD5" w:rsidRPr="005D3CD5">
        <w:rPr>
          <w:rFonts w:eastAsia="Times New Roman"/>
          <w:lang w:val="fr-FR"/>
        </w:rPr>
        <w:t>’</w:t>
      </w:r>
      <w:r w:rsidR="00937364" w:rsidRPr="005D3CD5">
        <w:rPr>
          <w:rFonts w:eastAsia="Times New Roman"/>
          <w:lang w:val="fr-FR"/>
        </w:rPr>
        <w:t xml:space="preserve">un </w:t>
      </w:r>
      <w:r w:rsidRPr="005D3CD5">
        <w:rPr>
          <w:rFonts w:eastAsia="Times New Roman"/>
          <w:lang w:val="fr-FR"/>
        </w:rPr>
        <w:t>acte</w:t>
      </w:r>
      <w:r w:rsidR="00937364" w:rsidRPr="005D3CD5">
        <w:rPr>
          <w:rFonts w:eastAsia="Times New Roman"/>
          <w:lang w:val="fr-FR"/>
        </w:rPr>
        <w:t>]</w:t>
      </w:r>
      <w:r w:rsidRPr="005D3CD5">
        <w:rPr>
          <w:rFonts w:eastAsia="Times New Roman"/>
          <w:lang w:val="fr-FR"/>
        </w:rPr>
        <w:t>, la partie concernée a présenté une demande en vue de l</w:t>
      </w:r>
      <w:r w:rsidR="005D3CD5" w:rsidRPr="005D3CD5">
        <w:rPr>
          <w:rFonts w:eastAsia="Times New Roman"/>
          <w:lang w:val="fr-FR"/>
        </w:rPr>
        <w:t>’</w:t>
      </w:r>
      <w:r w:rsidR="000F4136" w:rsidRPr="005D3CD5">
        <w:rPr>
          <w:rFonts w:eastAsia="Times New Roman"/>
          <w:lang w:val="fr-FR"/>
        </w:rPr>
        <w:t>[</w:t>
      </w:r>
      <w:r w:rsidR="00937364" w:rsidRPr="005D3CD5">
        <w:rPr>
          <w:rFonts w:eastAsia="Times New Roman"/>
          <w:lang w:val="fr-FR"/>
        </w:rPr>
        <w:t>exécution de cet</w:t>
      </w:r>
      <w:r w:rsidR="00CB10C1" w:rsidRPr="005D3CD5">
        <w:rPr>
          <w:rFonts w:eastAsia="Times New Roman"/>
          <w:lang w:val="fr-FR"/>
        </w:rPr>
        <w:t>]</w:t>
      </w:r>
      <w:r w:rsidR="00937364" w:rsidRPr="005D3CD5">
        <w:rPr>
          <w:rFonts w:eastAsia="Times New Roman"/>
          <w:lang w:val="fr-FR"/>
        </w:rPr>
        <w:t xml:space="preserve"> </w:t>
      </w:r>
      <w:r w:rsidRPr="005D3CD5">
        <w:rPr>
          <w:rFonts w:eastAsia="Times New Roman"/>
          <w:lang w:val="fr-FR"/>
        </w:rPr>
        <w:t>acte et que, sans raison valable, aucune mesure n</w:t>
      </w:r>
      <w:r w:rsidR="005D3CD5" w:rsidRPr="005D3CD5">
        <w:rPr>
          <w:rFonts w:eastAsia="Times New Roman"/>
          <w:lang w:val="fr-FR"/>
        </w:rPr>
        <w:t>’</w:t>
      </w:r>
      <w:r w:rsidRPr="005D3CD5">
        <w:rPr>
          <w:rFonts w:eastAsia="Times New Roman"/>
          <w:lang w:val="fr-FR"/>
        </w:rPr>
        <w:t>a été prise dans les trente jours consécutifs au dépôt de cette demande au greffe ».</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30</w:t>
      </w:r>
      <w:r w:rsidRPr="005D3CD5">
        <w:rPr>
          <w:rFonts w:eastAsia="Times New Roman"/>
          <w:lang w:val="fr-FR"/>
        </w:rPr>
        <w:fldChar w:fldCharType="end"/>
      </w:r>
      <w:r w:rsidRPr="005D3CD5">
        <w:rPr>
          <w:rFonts w:eastAsia="Times New Roman"/>
          <w:lang w:val="fr-FR"/>
        </w:rPr>
        <w:t>.  Les articles suivants de la loi n</w:t>
      </w:r>
      <w:r w:rsidR="00B504CC" w:rsidRPr="005D3CD5">
        <w:rPr>
          <w:rFonts w:eastAsia="Times New Roman"/>
          <w:vertAlign w:val="superscript"/>
          <w:lang w:val="fr-FR"/>
        </w:rPr>
        <w:t>o</w:t>
      </w:r>
      <w:r w:rsidRPr="005D3CD5">
        <w:rPr>
          <w:rFonts w:eastAsia="Times New Roman"/>
          <w:lang w:val="fr-FR"/>
        </w:rPr>
        <w:t xml:space="preserve"> 117/88 précisent les conditions et les modalités selon lesquelles une action en réparation peut être engagée au titre </w:t>
      </w:r>
      <w:r w:rsidRPr="005D3CD5">
        <w:rPr>
          <w:rFonts w:eastAsia="Times New Roman"/>
          <w:lang w:val="fr-FR"/>
        </w:rPr>
        <w:lastRenderedPageBreak/>
        <w:t>de l</w:t>
      </w:r>
      <w:r w:rsidR="005D3CD5" w:rsidRPr="005D3CD5">
        <w:rPr>
          <w:rFonts w:eastAsia="Times New Roman"/>
          <w:lang w:val="fr-FR"/>
        </w:rPr>
        <w:t>’</w:t>
      </w:r>
      <w:r w:rsidRPr="005D3CD5">
        <w:rPr>
          <w:rFonts w:eastAsia="Times New Roman"/>
          <w:lang w:val="fr-FR"/>
        </w:rPr>
        <w:t>article 2 ou de l</w:t>
      </w:r>
      <w:r w:rsidR="005D3CD5" w:rsidRPr="005D3CD5">
        <w:rPr>
          <w:rFonts w:eastAsia="Times New Roman"/>
          <w:lang w:val="fr-FR"/>
        </w:rPr>
        <w:t>’</w:t>
      </w:r>
      <w:r w:rsidRPr="005D3CD5">
        <w:rPr>
          <w:rFonts w:eastAsia="Times New Roman"/>
          <w:lang w:val="fr-FR"/>
        </w:rPr>
        <w:t xml:space="preserve">article 3 de cette loi, ainsi que les actions qui peuvent être intentées </w:t>
      </w:r>
      <w:r w:rsidRPr="005D3CD5">
        <w:rPr>
          <w:rFonts w:eastAsia="Times New Roman"/>
          <w:i/>
          <w:lang w:val="fr-FR"/>
        </w:rPr>
        <w:t>a posteriori</w:t>
      </w:r>
      <w:r w:rsidRPr="005D3CD5">
        <w:rPr>
          <w:rFonts w:eastAsia="Times New Roman"/>
          <w:lang w:val="fr-FR"/>
        </w:rPr>
        <w:t xml:space="preserve"> contre le magistrat qui s</w:t>
      </w:r>
      <w:r w:rsidR="005D3CD5" w:rsidRPr="005D3CD5">
        <w:rPr>
          <w:rFonts w:eastAsia="Times New Roman"/>
          <w:lang w:val="fr-FR"/>
        </w:rPr>
        <w:t>’</w:t>
      </w:r>
      <w:r w:rsidRPr="005D3CD5">
        <w:rPr>
          <w:rFonts w:eastAsia="Times New Roman"/>
          <w:lang w:val="fr-FR"/>
        </w:rPr>
        <w:t>est rendu coupable de dol ou de faute grave dans l</w:t>
      </w:r>
      <w:r w:rsidR="005D3CD5" w:rsidRPr="005D3CD5">
        <w:rPr>
          <w:rFonts w:eastAsia="Times New Roman"/>
          <w:lang w:val="fr-FR"/>
        </w:rPr>
        <w:t>’</w:t>
      </w:r>
      <w:r w:rsidRPr="005D3CD5">
        <w:rPr>
          <w:rFonts w:eastAsia="Times New Roman"/>
          <w:lang w:val="fr-FR"/>
        </w:rPr>
        <w:t>exercice de ses fonctions, voire d</w:t>
      </w:r>
      <w:r w:rsidR="005D3CD5" w:rsidRPr="005D3CD5">
        <w:rPr>
          <w:rFonts w:eastAsia="Times New Roman"/>
          <w:lang w:val="fr-FR"/>
        </w:rPr>
        <w:t>’</w:t>
      </w:r>
      <w:r w:rsidRPr="005D3CD5">
        <w:rPr>
          <w:rFonts w:eastAsia="Times New Roman"/>
          <w:lang w:val="fr-FR"/>
        </w:rPr>
        <w:t>un déni de justice.</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31</w:t>
      </w:r>
      <w:r w:rsidRPr="005D3CD5">
        <w:rPr>
          <w:rFonts w:eastAsia="Times New Roman"/>
          <w:lang w:val="fr-FR"/>
        </w:rPr>
        <w:fldChar w:fldCharType="end"/>
      </w:r>
      <w:r w:rsidRPr="005D3CD5">
        <w:rPr>
          <w:rFonts w:eastAsia="Times New Roman"/>
          <w:lang w:val="fr-FR"/>
        </w:rPr>
        <w:t>.  Aux termes de l</w:t>
      </w:r>
      <w:r w:rsidR="005D3CD5" w:rsidRPr="005D3CD5">
        <w:rPr>
          <w:rFonts w:eastAsia="Times New Roman"/>
          <w:lang w:val="fr-FR"/>
        </w:rPr>
        <w:t>’</w:t>
      </w:r>
      <w:r w:rsidRPr="005D3CD5">
        <w:rPr>
          <w:rFonts w:eastAsia="Times New Roman"/>
          <w:lang w:val="fr-FR"/>
        </w:rPr>
        <w:t>article 4</w:t>
      </w:r>
      <w:r w:rsidR="00171E16" w:rsidRPr="005D3CD5">
        <w:rPr>
          <w:rFonts w:eastAsia="Times New Roman"/>
          <w:lang w:val="fr-FR"/>
        </w:rPr>
        <w:t xml:space="preserve"> de la loi n</w:t>
      </w:r>
      <w:r w:rsidR="00B504CC" w:rsidRPr="005D3CD5">
        <w:rPr>
          <w:rFonts w:eastAsia="Times New Roman"/>
          <w:vertAlign w:val="superscript"/>
          <w:lang w:val="fr-FR"/>
        </w:rPr>
        <w:t>o</w:t>
      </w:r>
      <w:r w:rsidR="00171E16" w:rsidRPr="005D3CD5">
        <w:rPr>
          <w:rFonts w:eastAsia="Times New Roman"/>
          <w:lang w:val="fr-FR"/>
        </w:rPr>
        <w:t> 117/88</w:t>
      </w:r>
      <w:r w:rsidRPr="005D3CD5">
        <w:rPr>
          <w:rFonts w:eastAsia="Times New Roman"/>
          <w:lang w:val="fr-FR"/>
        </w:rPr>
        <w:t>, l</w:t>
      </w:r>
      <w:r w:rsidR="005D3CD5" w:rsidRPr="005D3CD5">
        <w:rPr>
          <w:rFonts w:eastAsia="Times New Roman"/>
          <w:lang w:val="fr-FR"/>
        </w:rPr>
        <w:t>’</w:t>
      </w:r>
      <w:r w:rsidRPr="005D3CD5">
        <w:rPr>
          <w:rFonts w:eastAsia="Times New Roman"/>
          <w:lang w:val="fr-FR"/>
        </w:rPr>
        <w:t>action peut être introduite après épuisement des voies de recours permettant d</w:t>
      </w:r>
      <w:r w:rsidR="005D3CD5" w:rsidRPr="005D3CD5">
        <w:rPr>
          <w:rFonts w:eastAsia="Times New Roman"/>
          <w:lang w:val="fr-FR"/>
        </w:rPr>
        <w:t>’</w:t>
      </w:r>
      <w:r w:rsidRPr="005D3CD5">
        <w:rPr>
          <w:rFonts w:eastAsia="Times New Roman"/>
          <w:lang w:val="fr-FR"/>
        </w:rPr>
        <w:t xml:space="preserve">attaquer la mesure litigieuse et en tout état de cause seulement lorsque </w:t>
      </w:r>
      <w:r w:rsidR="00FA0B70" w:rsidRPr="005D3CD5">
        <w:rPr>
          <w:rFonts w:eastAsia="Times New Roman"/>
          <w:lang w:val="fr-FR"/>
        </w:rPr>
        <w:t>celle-ci</w:t>
      </w:r>
      <w:r w:rsidRPr="005D3CD5">
        <w:rPr>
          <w:rFonts w:eastAsia="Times New Roman"/>
          <w:lang w:val="fr-FR"/>
        </w:rPr>
        <w:t xml:space="preserve"> n</w:t>
      </w:r>
      <w:r w:rsidR="005D3CD5" w:rsidRPr="005D3CD5">
        <w:rPr>
          <w:rFonts w:eastAsia="Times New Roman"/>
          <w:lang w:val="fr-FR"/>
        </w:rPr>
        <w:t>’</w:t>
      </w:r>
      <w:r w:rsidRPr="005D3CD5">
        <w:rPr>
          <w:rFonts w:eastAsia="Times New Roman"/>
          <w:lang w:val="fr-FR"/>
        </w:rPr>
        <w:t>est plus modifiable ou révocable</w:t>
      </w:r>
      <w:r w:rsidR="00FA0B70" w:rsidRPr="005D3CD5">
        <w:rPr>
          <w:rFonts w:eastAsia="Times New Roman"/>
          <w:lang w:val="fr-FR"/>
        </w:rPr>
        <w:t>.</w:t>
      </w:r>
    </w:p>
    <w:p w:rsidR="00CA2719" w:rsidRPr="005D3CD5" w:rsidRDefault="00CA2719" w:rsidP="005D3CD5">
      <w:pPr>
        <w:pStyle w:val="ECHRHeading1"/>
        <w:rPr>
          <w:rFonts w:eastAsia="Times New Roman"/>
          <w:lang w:val="fr-FR"/>
        </w:rPr>
      </w:pPr>
      <w:r w:rsidRPr="005D3CD5">
        <w:rPr>
          <w:rFonts w:eastAsia="Times New Roman"/>
          <w:lang w:val="fr-FR"/>
        </w:rPr>
        <w:t>III</w:t>
      </w:r>
      <w:r w:rsidR="001F1ECC" w:rsidRPr="005D3CD5">
        <w:rPr>
          <w:rFonts w:eastAsia="Times New Roman"/>
          <w:lang w:val="fr-FR"/>
        </w:rPr>
        <w:t>.  </w:t>
      </w:r>
      <w:r w:rsidRPr="005D3CD5">
        <w:rPr>
          <w:rFonts w:eastAsia="Times New Roman"/>
          <w:lang w:val="fr-FR"/>
        </w:rPr>
        <w:t>LE DROIT DE L</w:t>
      </w:r>
      <w:r w:rsidR="005D3CD5" w:rsidRPr="005D3CD5">
        <w:rPr>
          <w:rFonts w:eastAsia="Times New Roman"/>
          <w:lang w:val="fr-FR"/>
        </w:rPr>
        <w:t>’</w:t>
      </w:r>
      <w:r w:rsidRPr="005D3CD5">
        <w:rPr>
          <w:rFonts w:eastAsia="Times New Roman"/>
          <w:lang w:val="fr-FR"/>
        </w:rPr>
        <w:t>UNION EUROPEENNE</w:t>
      </w:r>
    </w:p>
    <w:p w:rsidR="009F210B" w:rsidRPr="005D3CD5" w:rsidRDefault="004552E0" w:rsidP="005D3CD5">
      <w:pPr>
        <w:pStyle w:val="ECHRHeading2"/>
        <w:rPr>
          <w:rFonts w:eastAsia="Times New Roman"/>
          <w:lang w:val="fr-FR"/>
        </w:rPr>
      </w:pPr>
      <w:r w:rsidRPr="005D3CD5">
        <w:rPr>
          <w:rFonts w:eastAsia="Times New Roman"/>
          <w:lang w:val="fr-FR"/>
        </w:rPr>
        <w:t xml:space="preserve">La </w:t>
      </w:r>
      <w:r w:rsidR="00521C7F" w:rsidRPr="005D3CD5">
        <w:rPr>
          <w:rFonts w:eastAsia="Times New Roman"/>
          <w:lang w:val="fr-FR"/>
        </w:rPr>
        <w:t xml:space="preserve">directive 2008/115/CE du Parlement européen et du Conseil du 16 décembre 2008 relative aux normes et procédures communes applicables dans les États membres au retour des ressortissants de pays tiers en séjour irrégulier (« la directive </w:t>
      </w:r>
      <w:r w:rsidR="001072B4" w:rsidRPr="005D3CD5">
        <w:rPr>
          <w:rFonts w:eastAsia="Times New Roman"/>
          <w:lang w:val="fr-FR"/>
        </w:rPr>
        <w:t>r</w:t>
      </w:r>
      <w:r w:rsidR="00521C7F" w:rsidRPr="005D3CD5">
        <w:rPr>
          <w:rFonts w:eastAsia="Times New Roman"/>
          <w:lang w:val="fr-FR"/>
        </w:rPr>
        <w:t>etour »)</w:t>
      </w:r>
    </w:p>
    <w:p w:rsidR="00996C8A" w:rsidRPr="005D3CD5" w:rsidRDefault="00996C8A"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32</w:t>
      </w:r>
      <w:r w:rsidRPr="005D3CD5">
        <w:rPr>
          <w:rFonts w:eastAsia="Times New Roman"/>
          <w:lang w:val="fr-FR"/>
        </w:rPr>
        <w:fldChar w:fldCharType="end"/>
      </w:r>
      <w:r w:rsidRPr="005D3CD5">
        <w:rPr>
          <w:rFonts w:eastAsia="Times New Roman"/>
          <w:lang w:val="fr-FR"/>
        </w:rPr>
        <w:t xml:space="preserve">.  La </w:t>
      </w:r>
      <w:r w:rsidR="00EE404D" w:rsidRPr="005D3CD5">
        <w:rPr>
          <w:rFonts w:eastAsia="Times New Roman"/>
          <w:lang w:val="fr-FR"/>
        </w:rPr>
        <w:t>« </w:t>
      </w:r>
      <w:r w:rsidRPr="005D3CD5">
        <w:rPr>
          <w:rFonts w:eastAsia="Times New Roman"/>
          <w:lang w:val="fr-FR"/>
        </w:rPr>
        <w:t xml:space="preserve">directive </w:t>
      </w:r>
      <w:r w:rsidR="00EE404D" w:rsidRPr="005D3CD5">
        <w:rPr>
          <w:rFonts w:eastAsia="Times New Roman"/>
          <w:lang w:val="fr-FR"/>
        </w:rPr>
        <w:t>r</w:t>
      </w:r>
      <w:r w:rsidRPr="005D3CD5">
        <w:rPr>
          <w:rFonts w:eastAsia="Times New Roman"/>
          <w:lang w:val="fr-FR"/>
        </w:rPr>
        <w:t>etour</w:t>
      </w:r>
      <w:r w:rsidR="00EE404D" w:rsidRPr="005D3CD5">
        <w:rPr>
          <w:rFonts w:eastAsia="Times New Roman"/>
          <w:lang w:val="fr-FR"/>
        </w:rPr>
        <w:t> »</w:t>
      </w:r>
      <w:r w:rsidRPr="005D3CD5">
        <w:rPr>
          <w:rFonts w:eastAsia="Times New Roman"/>
          <w:lang w:val="fr-FR"/>
        </w:rPr>
        <w:t xml:space="preserve"> régit l</w:t>
      </w:r>
      <w:r w:rsidR="005D3CD5" w:rsidRPr="005D3CD5">
        <w:rPr>
          <w:rFonts w:eastAsia="Times New Roman"/>
          <w:lang w:val="fr-FR"/>
        </w:rPr>
        <w:t>’</w:t>
      </w:r>
      <w:r w:rsidRPr="005D3CD5">
        <w:rPr>
          <w:rFonts w:eastAsia="Times New Roman"/>
          <w:lang w:val="fr-FR"/>
        </w:rPr>
        <w:t>éloignement</w:t>
      </w:r>
      <w:r w:rsidR="0089403C" w:rsidRPr="005D3CD5">
        <w:rPr>
          <w:rFonts w:eastAsia="Times New Roman"/>
          <w:lang w:val="fr-FR"/>
        </w:rPr>
        <w:t xml:space="preserve"> </w:t>
      </w:r>
      <w:r w:rsidR="0089403C" w:rsidRPr="005D3CD5">
        <w:rPr>
          <w:rFonts w:eastAsia="Times New Roman"/>
          <w:bCs/>
          <w:lang w:val="fr-FR"/>
        </w:rPr>
        <w:t>des ressortissants de pays tiers en séjour irrégulier</w:t>
      </w:r>
      <w:r w:rsidRPr="005D3CD5">
        <w:rPr>
          <w:rFonts w:eastAsia="Times New Roman"/>
          <w:lang w:val="fr-FR"/>
        </w:rPr>
        <w:t xml:space="preserve">, encadre le placement en détention </w:t>
      </w:r>
      <w:r w:rsidR="00F6590B" w:rsidRPr="005D3CD5">
        <w:rPr>
          <w:rFonts w:eastAsia="Times New Roman"/>
          <w:lang w:val="fr-FR"/>
        </w:rPr>
        <w:t xml:space="preserve">de ces personnes </w:t>
      </w:r>
      <w:r w:rsidRPr="005D3CD5">
        <w:rPr>
          <w:rFonts w:eastAsia="Times New Roman"/>
          <w:lang w:val="fr-FR"/>
        </w:rPr>
        <w:t>lorsqu</w:t>
      </w:r>
      <w:r w:rsidR="005D3CD5" w:rsidRPr="005D3CD5">
        <w:rPr>
          <w:rFonts w:eastAsia="Times New Roman"/>
          <w:lang w:val="fr-FR"/>
        </w:rPr>
        <w:t>’</w:t>
      </w:r>
      <w:r w:rsidRPr="005D3CD5">
        <w:rPr>
          <w:rFonts w:eastAsia="Times New Roman"/>
          <w:lang w:val="fr-FR"/>
        </w:rPr>
        <w:t>il s</w:t>
      </w:r>
      <w:r w:rsidR="005D3CD5" w:rsidRPr="005D3CD5">
        <w:rPr>
          <w:rFonts w:eastAsia="Times New Roman"/>
          <w:lang w:val="fr-FR"/>
        </w:rPr>
        <w:t>’</w:t>
      </w:r>
      <w:r w:rsidRPr="005D3CD5">
        <w:rPr>
          <w:rFonts w:eastAsia="Times New Roman"/>
          <w:lang w:val="fr-FR"/>
        </w:rPr>
        <w:t>avère nécessaire et met en place des garanties procédurales</w:t>
      </w:r>
      <w:r w:rsidR="00EE404D" w:rsidRPr="005D3CD5">
        <w:rPr>
          <w:rFonts w:eastAsia="Times New Roman"/>
          <w:lang w:val="fr-FR"/>
        </w:rPr>
        <w:t>.</w:t>
      </w:r>
    </w:p>
    <w:p w:rsidR="00E77CB3" w:rsidRPr="005D3CD5" w:rsidRDefault="00E77CB3" w:rsidP="005D3CD5">
      <w:pPr>
        <w:pStyle w:val="ECHRTitle1"/>
        <w:rPr>
          <w:lang w:val="fr-FR"/>
        </w:rPr>
      </w:pPr>
      <w:r w:rsidRPr="005D3CD5">
        <w:rPr>
          <w:lang w:val="fr-FR"/>
        </w:rPr>
        <w:t>EN DROIT</w:t>
      </w:r>
    </w:p>
    <w:p w:rsidR="00F9236C" w:rsidRPr="005D3CD5" w:rsidRDefault="00F9236C" w:rsidP="005D3CD5">
      <w:pPr>
        <w:pStyle w:val="ECHRHeading1"/>
        <w:rPr>
          <w:lang w:val="fr-FR"/>
        </w:rPr>
      </w:pPr>
      <w:r w:rsidRPr="005D3CD5">
        <w:rPr>
          <w:lang w:val="fr-FR"/>
        </w:rPr>
        <w:t>I.</w:t>
      </w:r>
      <w:r w:rsidR="00AF65B6" w:rsidRPr="005D3CD5">
        <w:rPr>
          <w:lang w:val="fr-FR"/>
        </w:rPr>
        <w:t>  </w:t>
      </w:r>
      <w:r w:rsidR="00C85CBC" w:rsidRPr="005D3CD5">
        <w:rPr>
          <w:lang w:val="fr-FR"/>
        </w:rPr>
        <w:t xml:space="preserve">SUR LA </w:t>
      </w:r>
      <w:r w:rsidRPr="005D3CD5">
        <w:rPr>
          <w:lang w:val="fr-FR"/>
        </w:rPr>
        <w:t>JONCTION DES REQU</w:t>
      </w:r>
      <w:r w:rsidR="004552E0" w:rsidRPr="005D3CD5">
        <w:rPr>
          <w:rFonts w:cstheme="majorHAnsi"/>
          <w:lang w:val="fr-FR"/>
        </w:rPr>
        <w:t>Ê</w:t>
      </w:r>
      <w:r w:rsidRPr="005D3CD5">
        <w:rPr>
          <w:lang w:val="fr-FR"/>
        </w:rPr>
        <w:t>TES</w:t>
      </w:r>
    </w:p>
    <w:p w:rsidR="00F9236C" w:rsidRPr="005D3CD5" w:rsidRDefault="00F9236C" w:rsidP="005D3CD5">
      <w:pPr>
        <w:pStyle w:val="ECHRPara"/>
        <w:rPr>
          <w:lang w:val="fr-FR"/>
        </w:rPr>
      </w:pPr>
      <w:r w:rsidRPr="005D3CD5">
        <w:fldChar w:fldCharType="begin"/>
      </w:r>
      <w:r w:rsidRPr="005D3CD5">
        <w:rPr>
          <w:lang w:val="fr-FR"/>
        </w:rPr>
        <w:instrText xml:space="preserve"> SEQ level0 \*arabic </w:instrText>
      </w:r>
      <w:r w:rsidRPr="005D3CD5">
        <w:fldChar w:fldCharType="separate"/>
      </w:r>
      <w:r w:rsidR="005D3CD5" w:rsidRPr="005D3CD5">
        <w:rPr>
          <w:noProof/>
          <w:lang w:val="fr-FR"/>
        </w:rPr>
        <w:t>33</w:t>
      </w:r>
      <w:r w:rsidRPr="005D3CD5">
        <w:fldChar w:fldCharType="end"/>
      </w:r>
      <w:r w:rsidRPr="005D3CD5">
        <w:rPr>
          <w:lang w:val="fr-FR"/>
        </w:rPr>
        <w:t xml:space="preserve">.  La Cour constate que les requérants se plaignent </w:t>
      </w:r>
      <w:r w:rsidR="00B83296" w:rsidRPr="005D3CD5">
        <w:rPr>
          <w:lang w:val="fr-FR"/>
        </w:rPr>
        <w:t xml:space="preserve">tous </w:t>
      </w:r>
      <w:r w:rsidRPr="005D3CD5">
        <w:rPr>
          <w:bCs/>
          <w:lang w:val="fr-FR"/>
        </w:rPr>
        <w:t>de la détention subie aux fins d</w:t>
      </w:r>
      <w:r w:rsidR="005D3CD5" w:rsidRPr="005D3CD5">
        <w:rPr>
          <w:bCs/>
          <w:lang w:val="fr-FR"/>
        </w:rPr>
        <w:t>’</w:t>
      </w:r>
      <w:r w:rsidRPr="005D3CD5">
        <w:rPr>
          <w:bCs/>
          <w:lang w:val="fr-FR"/>
        </w:rPr>
        <w:t>exécution d</w:t>
      </w:r>
      <w:r w:rsidR="005D3CD5" w:rsidRPr="005D3CD5">
        <w:rPr>
          <w:bCs/>
          <w:lang w:val="fr-FR"/>
        </w:rPr>
        <w:t>’</w:t>
      </w:r>
      <w:r w:rsidRPr="005D3CD5">
        <w:rPr>
          <w:bCs/>
          <w:lang w:val="fr-FR"/>
        </w:rPr>
        <w:t xml:space="preserve">une mesure de reconduite à la </w:t>
      </w:r>
      <w:r w:rsidR="00B564B7" w:rsidRPr="005D3CD5">
        <w:rPr>
          <w:bCs/>
          <w:lang w:val="fr-FR"/>
        </w:rPr>
        <w:t xml:space="preserve">frontière. </w:t>
      </w:r>
      <w:r w:rsidRPr="005D3CD5">
        <w:rPr>
          <w:lang w:val="fr-FR"/>
        </w:rPr>
        <w:t xml:space="preserve">Partant, </w:t>
      </w:r>
      <w:r w:rsidR="008D7EE7" w:rsidRPr="005D3CD5">
        <w:rPr>
          <w:lang w:val="fr-FR"/>
        </w:rPr>
        <w:t>eu égard à leur</w:t>
      </w:r>
      <w:r w:rsidRPr="005D3CD5">
        <w:rPr>
          <w:lang w:val="fr-FR"/>
        </w:rPr>
        <w:t xml:space="preserve"> similitude quant aux faits et aux questions de fond qu</w:t>
      </w:r>
      <w:r w:rsidR="005D3CD5" w:rsidRPr="005D3CD5">
        <w:rPr>
          <w:lang w:val="fr-FR"/>
        </w:rPr>
        <w:t>’</w:t>
      </w:r>
      <w:r w:rsidRPr="005D3CD5">
        <w:rPr>
          <w:lang w:val="fr-FR"/>
        </w:rPr>
        <w:t xml:space="preserve">elles posent, </w:t>
      </w:r>
      <w:r w:rsidR="00254EEA" w:rsidRPr="005D3CD5">
        <w:rPr>
          <w:lang w:val="fr-FR"/>
        </w:rPr>
        <w:t>la Cour</w:t>
      </w:r>
      <w:r w:rsidRPr="005D3CD5">
        <w:rPr>
          <w:lang w:val="fr-FR"/>
        </w:rPr>
        <w:t xml:space="preserve"> décide de joindre </w:t>
      </w:r>
      <w:r w:rsidR="008D7EE7" w:rsidRPr="005D3CD5">
        <w:rPr>
          <w:lang w:val="fr-FR"/>
        </w:rPr>
        <w:t xml:space="preserve">les requêtes </w:t>
      </w:r>
      <w:r w:rsidRPr="005D3CD5">
        <w:rPr>
          <w:lang w:val="fr-FR"/>
        </w:rPr>
        <w:t>et de les examiner conjointement dans un seul arrêt.</w:t>
      </w:r>
    </w:p>
    <w:p w:rsidR="00E77CB3" w:rsidRPr="005D3CD5" w:rsidRDefault="00F9236C" w:rsidP="005D3CD5">
      <w:pPr>
        <w:pStyle w:val="ECHRHeading1"/>
        <w:rPr>
          <w:lang w:val="fr-FR"/>
        </w:rPr>
      </w:pPr>
      <w:r w:rsidRPr="005D3CD5">
        <w:rPr>
          <w:lang w:val="fr-FR"/>
        </w:rPr>
        <w:t>II</w:t>
      </w:r>
      <w:r w:rsidR="00E77CB3" w:rsidRPr="005D3CD5">
        <w:rPr>
          <w:lang w:val="fr-FR"/>
        </w:rPr>
        <w:t>.  SUR LA VIOLATION ALLÉGUÉE DE L</w:t>
      </w:r>
      <w:r w:rsidR="005D3CD5" w:rsidRPr="005D3CD5">
        <w:rPr>
          <w:lang w:val="fr-FR"/>
        </w:rPr>
        <w:t>’</w:t>
      </w:r>
      <w:r w:rsidR="00E77CB3" w:rsidRPr="005D3CD5">
        <w:rPr>
          <w:lang w:val="fr-FR"/>
        </w:rPr>
        <w:t xml:space="preserve">ARTICLE </w:t>
      </w:r>
      <w:r w:rsidR="00E60556" w:rsidRPr="005D3CD5">
        <w:rPr>
          <w:lang w:val="fr-FR"/>
        </w:rPr>
        <w:t>5 §</w:t>
      </w:r>
      <w:r w:rsidR="00E77CB3" w:rsidRPr="005D3CD5">
        <w:rPr>
          <w:lang w:val="fr-FR"/>
        </w:rPr>
        <w:t xml:space="preserve"> </w:t>
      </w:r>
      <w:r w:rsidR="006F726E" w:rsidRPr="005D3CD5">
        <w:rPr>
          <w:lang w:val="fr-FR"/>
        </w:rPr>
        <w:t xml:space="preserve">1 </w:t>
      </w:r>
      <w:r w:rsidR="00E77CB3" w:rsidRPr="005D3CD5">
        <w:rPr>
          <w:lang w:val="fr-FR"/>
        </w:rPr>
        <w:t>DE LA CONVENTION</w:t>
      </w:r>
    </w:p>
    <w:p w:rsidR="00E60556" w:rsidRPr="005D3CD5" w:rsidRDefault="007A0DCE" w:rsidP="005D3CD5">
      <w:pPr>
        <w:pStyle w:val="ECHRPara"/>
        <w:rPr>
          <w:lang w:val="fr-FR"/>
        </w:rPr>
      </w:pPr>
      <w:r w:rsidRPr="005D3CD5">
        <w:fldChar w:fldCharType="begin"/>
      </w:r>
      <w:r w:rsidRPr="005D3CD5">
        <w:rPr>
          <w:lang w:val="fr-FR"/>
        </w:rPr>
        <w:instrText xml:space="preserve"> SEQ level0 \*arabic </w:instrText>
      </w:r>
      <w:r w:rsidRPr="005D3CD5">
        <w:fldChar w:fldCharType="separate"/>
      </w:r>
      <w:r w:rsidR="005D3CD5" w:rsidRPr="005D3CD5">
        <w:rPr>
          <w:noProof/>
          <w:lang w:val="fr-FR"/>
        </w:rPr>
        <w:t>34</w:t>
      </w:r>
      <w:r w:rsidRPr="005D3CD5">
        <w:fldChar w:fldCharType="end"/>
      </w:r>
      <w:r w:rsidRPr="005D3CD5">
        <w:rPr>
          <w:lang w:val="fr-FR"/>
        </w:rPr>
        <w:t>.  </w:t>
      </w:r>
      <w:r w:rsidR="00E60556" w:rsidRPr="005D3CD5">
        <w:rPr>
          <w:lang w:val="fr-FR"/>
        </w:rPr>
        <w:t>Les requérants estiment avoir été privés de leur liberté de manière incompatible avec l</w:t>
      </w:r>
      <w:r w:rsidR="005D3CD5" w:rsidRPr="005D3CD5">
        <w:rPr>
          <w:lang w:val="fr-FR"/>
        </w:rPr>
        <w:t>’</w:t>
      </w:r>
      <w:r w:rsidR="00E60556" w:rsidRPr="005D3CD5">
        <w:rPr>
          <w:lang w:val="fr-FR"/>
        </w:rPr>
        <w:t>article 5 § 1 de la Convention.</w:t>
      </w:r>
    </w:p>
    <w:p w:rsidR="00E60556" w:rsidRPr="005D3CD5" w:rsidRDefault="00E60556" w:rsidP="005D3CD5">
      <w:pPr>
        <w:pStyle w:val="ECHRPara"/>
        <w:rPr>
          <w:lang w:val="fr-FR"/>
        </w:rPr>
      </w:pPr>
      <w:r w:rsidRPr="005D3CD5">
        <w:rPr>
          <w:lang w:val="fr-FR"/>
        </w:rPr>
        <w:t>Cette disposition se lit ainsi :</w:t>
      </w:r>
    </w:p>
    <w:p w:rsidR="00E60556" w:rsidRPr="005D3CD5" w:rsidRDefault="005D3CD5" w:rsidP="005D3CD5">
      <w:pPr>
        <w:pStyle w:val="ECHRParaQuote"/>
        <w:rPr>
          <w:lang w:val="fr-FR"/>
        </w:rPr>
      </w:pPr>
      <w:r w:rsidRPr="005D3CD5">
        <w:rPr>
          <w:lang w:val="fr-FR"/>
        </w:rPr>
        <w:t>« </w:t>
      </w:r>
      <w:r w:rsidR="00E60556" w:rsidRPr="005D3CD5">
        <w:rPr>
          <w:lang w:val="fr-FR"/>
        </w:rPr>
        <w:t>1. Toute personne a droit à la liberté et à la sûreté. Nul ne peut être privé de sa liberté, sauf dans les cas suivants et selon les voies légales :</w:t>
      </w:r>
    </w:p>
    <w:p w:rsidR="00E60556" w:rsidRPr="005D3CD5" w:rsidRDefault="00E60556" w:rsidP="005D3CD5">
      <w:pPr>
        <w:pStyle w:val="ECHRParaQuote"/>
        <w:rPr>
          <w:lang w:val="fr-FR"/>
        </w:rPr>
      </w:pPr>
      <w:r w:rsidRPr="005D3CD5">
        <w:rPr>
          <w:lang w:val="fr-FR"/>
        </w:rPr>
        <w:t>a) s</w:t>
      </w:r>
      <w:r w:rsidR="005D3CD5" w:rsidRPr="005D3CD5">
        <w:rPr>
          <w:lang w:val="fr-FR"/>
        </w:rPr>
        <w:t>’</w:t>
      </w:r>
      <w:r w:rsidRPr="005D3CD5">
        <w:rPr>
          <w:lang w:val="fr-FR"/>
        </w:rPr>
        <w:t>il est détenu régulièrement après condamnation par un tribunal compétent ;</w:t>
      </w:r>
    </w:p>
    <w:p w:rsidR="00E60556" w:rsidRPr="005D3CD5" w:rsidRDefault="00E60556" w:rsidP="005D3CD5">
      <w:pPr>
        <w:pStyle w:val="ECHRParaQuote"/>
        <w:rPr>
          <w:lang w:val="fr-FR"/>
        </w:rPr>
      </w:pPr>
      <w:r w:rsidRPr="005D3CD5">
        <w:rPr>
          <w:lang w:val="fr-FR"/>
        </w:rPr>
        <w:lastRenderedPageBreak/>
        <w:t>b) s</w:t>
      </w:r>
      <w:r w:rsidR="005D3CD5" w:rsidRPr="005D3CD5">
        <w:rPr>
          <w:lang w:val="fr-FR"/>
        </w:rPr>
        <w:t>’</w:t>
      </w:r>
      <w:r w:rsidRPr="005D3CD5">
        <w:rPr>
          <w:lang w:val="fr-FR"/>
        </w:rPr>
        <w:t>il a fait l</w:t>
      </w:r>
      <w:r w:rsidR="005D3CD5" w:rsidRPr="005D3CD5">
        <w:rPr>
          <w:lang w:val="fr-FR"/>
        </w:rPr>
        <w:t>’</w:t>
      </w:r>
      <w:r w:rsidRPr="005D3CD5">
        <w:rPr>
          <w:lang w:val="fr-FR"/>
        </w:rPr>
        <w:t>objet d</w:t>
      </w:r>
      <w:r w:rsidR="005D3CD5" w:rsidRPr="005D3CD5">
        <w:rPr>
          <w:lang w:val="fr-FR"/>
        </w:rPr>
        <w:t>’</w:t>
      </w:r>
      <w:r w:rsidRPr="005D3CD5">
        <w:rPr>
          <w:lang w:val="fr-FR"/>
        </w:rPr>
        <w:t>une arrestation ou d</w:t>
      </w:r>
      <w:r w:rsidR="005D3CD5" w:rsidRPr="005D3CD5">
        <w:rPr>
          <w:lang w:val="fr-FR"/>
        </w:rPr>
        <w:t>’</w:t>
      </w:r>
      <w:r w:rsidRPr="005D3CD5">
        <w:rPr>
          <w:lang w:val="fr-FR"/>
        </w:rPr>
        <w:t>une détention régulières pour insoumission à une ordonnance rendue, conformément à la loi, par un tribunal ou en vue de garantir l</w:t>
      </w:r>
      <w:r w:rsidR="005D3CD5" w:rsidRPr="005D3CD5">
        <w:rPr>
          <w:lang w:val="fr-FR"/>
        </w:rPr>
        <w:t>’</w:t>
      </w:r>
      <w:r w:rsidRPr="005D3CD5">
        <w:rPr>
          <w:lang w:val="fr-FR"/>
        </w:rPr>
        <w:t>exécution d</w:t>
      </w:r>
      <w:r w:rsidR="005D3CD5" w:rsidRPr="005D3CD5">
        <w:rPr>
          <w:lang w:val="fr-FR"/>
        </w:rPr>
        <w:t>’</w:t>
      </w:r>
      <w:r w:rsidRPr="005D3CD5">
        <w:rPr>
          <w:lang w:val="fr-FR"/>
        </w:rPr>
        <w:t>une obligation prescrite par la loi ;</w:t>
      </w:r>
    </w:p>
    <w:p w:rsidR="00E60556" w:rsidRPr="005D3CD5" w:rsidRDefault="00E60556" w:rsidP="005D3CD5">
      <w:pPr>
        <w:pStyle w:val="ECHRParaQuote"/>
        <w:rPr>
          <w:lang w:val="fr-FR"/>
        </w:rPr>
      </w:pPr>
      <w:r w:rsidRPr="005D3CD5">
        <w:rPr>
          <w:lang w:val="fr-FR"/>
        </w:rPr>
        <w:t>c) s</w:t>
      </w:r>
      <w:r w:rsidR="005D3CD5" w:rsidRPr="005D3CD5">
        <w:rPr>
          <w:lang w:val="fr-FR"/>
        </w:rPr>
        <w:t>’</w:t>
      </w:r>
      <w:r w:rsidRPr="005D3CD5">
        <w:rPr>
          <w:lang w:val="fr-FR"/>
        </w:rPr>
        <w:t>il a été arrêté et détenu en vue d</w:t>
      </w:r>
      <w:r w:rsidR="005D3CD5" w:rsidRPr="005D3CD5">
        <w:rPr>
          <w:lang w:val="fr-FR"/>
        </w:rPr>
        <w:t>’</w:t>
      </w:r>
      <w:r w:rsidRPr="005D3CD5">
        <w:rPr>
          <w:lang w:val="fr-FR"/>
        </w:rPr>
        <w:t>être conduit devant l</w:t>
      </w:r>
      <w:r w:rsidR="005D3CD5" w:rsidRPr="005D3CD5">
        <w:rPr>
          <w:lang w:val="fr-FR"/>
        </w:rPr>
        <w:t>’</w:t>
      </w:r>
      <w:r w:rsidRPr="005D3CD5">
        <w:rPr>
          <w:lang w:val="fr-FR"/>
        </w:rPr>
        <w:t>autorité judiciaire compétente, lorsqu</w:t>
      </w:r>
      <w:r w:rsidR="005D3CD5" w:rsidRPr="005D3CD5">
        <w:rPr>
          <w:lang w:val="fr-FR"/>
        </w:rPr>
        <w:t>’</w:t>
      </w:r>
      <w:r w:rsidRPr="005D3CD5">
        <w:rPr>
          <w:lang w:val="fr-FR"/>
        </w:rPr>
        <w:t>il y a des raisons plausibles de soupçonner qu</w:t>
      </w:r>
      <w:r w:rsidR="005D3CD5" w:rsidRPr="005D3CD5">
        <w:rPr>
          <w:lang w:val="fr-FR"/>
        </w:rPr>
        <w:t>’</w:t>
      </w:r>
      <w:r w:rsidRPr="005D3CD5">
        <w:rPr>
          <w:lang w:val="fr-FR"/>
        </w:rPr>
        <w:t>il a commis une infraction ou qu</w:t>
      </w:r>
      <w:r w:rsidR="005D3CD5" w:rsidRPr="005D3CD5">
        <w:rPr>
          <w:lang w:val="fr-FR"/>
        </w:rPr>
        <w:t>’</w:t>
      </w:r>
      <w:r w:rsidRPr="005D3CD5">
        <w:rPr>
          <w:lang w:val="fr-FR"/>
        </w:rPr>
        <w:t>il y a des motifs raisonnables de croire à la nécessité de l</w:t>
      </w:r>
      <w:r w:rsidR="005D3CD5" w:rsidRPr="005D3CD5">
        <w:rPr>
          <w:lang w:val="fr-FR"/>
        </w:rPr>
        <w:t>’</w:t>
      </w:r>
      <w:r w:rsidRPr="005D3CD5">
        <w:rPr>
          <w:lang w:val="fr-FR"/>
        </w:rPr>
        <w:t>empêcher de commettre une infraction ou de s</w:t>
      </w:r>
      <w:r w:rsidR="005D3CD5" w:rsidRPr="005D3CD5">
        <w:rPr>
          <w:lang w:val="fr-FR"/>
        </w:rPr>
        <w:t>’</w:t>
      </w:r>
      <w:r w:rsidRPr="005D3CD5">
        <w:rPr>
          <w:lang w:val="fr-FR"/>
        </w:rPr>
        <w:t>enfuir après l</w:t>
      </w:r>
      <w:r w:rsidR="005D3CD5" w:rsidRPr="005D3CD5">
        <w:rPr>
          <w:lang w:val="fr-FR"/>
        </w:rPr>
        <w:t>’</w:t>
      </w:r>
      <w:r w:rsidRPr="005D3CD5">
        <w:rPr>
          <w:lang w:val="fr-FR"/>
        </w:rPr>
        <w:t>accomplissement de celle-ci ;</w:t>
      </w:r>
    </w:p>
    <w:p w:rsidR="00E60556" w:rsidRPr="005D3CD5" w:rsidRDefault="00E60556" w:rsidP="005D3CD5">
      <w:pPr>
        <w:pStyle w:val="ECHRParaQuote"/>
        <w:rPr>
          <w:lang w:val="fr-FR"/>
        </w:rPr>
      </w:pPr>
      <w:r w:rsidRPr="005D3CD5">
        <w:rPr>
          <w:lang w:val="fr-FR"/>
        </w:rPr>
        <w:t>d) s</w:t>
      </w:r>
      <w:r w:rsidR="005D3CD5" w:rsidRPr="005D3CD5">
        <w:rPr>
          <w:lang w:val="fr-FR"/>
        </w:rPr>
        <w:t>’</w:t>
      </w:r>
      <w:r w:rsidRPr="005D3CD5">
        <w:rPr>
          <w:lang w:val="fr-FR"/>
        </w:rPr>
        <w:t>il s</w:t>
      </w:r>
      <w:r w:rsidR="005D3CD5" w:rsidRPr="005D3CD5">
        <w:rPr>
          <w:lang w:val="fr-FR"/>
        </w:rPr>
        <w:t>’</w:t>
      </w:r>
      <w:r w:rsidRPr="005D3CD5">
        <w:rPr>
          <w:lang w:val="fr-FR"/>
        </w:rPr>
        <w:t>agit de la détention régulière d</w:t>
      </w:r>
      <w:r w:rsidR="005D3CD5" w:rsidRPr="005D3CD5">
        <w:rPr>
          <w:lang w:val="fr-FR"/>
        </w:rPr>
        <w:t>’</w:t>
      </w:r>
      <w:r w:rsidRPr="005D3CD5">
        <w:rPr>
          <w:lang w:val="fr-FR"/>
        </w:rPr>
        <w:t>un mineur, décidée pour son éducation surveillée ou de sa détention régulière, afin de le traduire devant l</w:t>
      </w:r>
      <w:r w:rsidR="005D3CD5" w:rsidRPr="005D3CD5">
        <w:rPr>
          <w:lang w:val="fr-FR"/>
        </w:rPr>
        <w:t>’</w:t>
      </w:r>
      <w:r w:rsidRPr="005D3CD5">
        <w:rPr>
          <w:lang w:val="fr-FR"/>
        </w:rPr>
        <w:t>autorité compétente ;</w:t>
      </w:r>
    </w:p>
    <w:p w:rsidR="00E60556" w:rsidRPr="005D3CD5" w:rsidRDefault="00E60556" w:rsidP="005D3CD5">
      <w:pPr>
        <w:pStyle w:val="ECHRParaQuote"/>
        <w:rPr>
          <w:lang w:val="fr-FR"/>
        </w:rPr>
      </w:pPr>
      <w:r w:rsidRPr="005D3CD5">
        <w:rPr>
          <w:lang w:val="fr-FR"/>
        </w:rPr>
        <w:t>e) s</w:t>
      </w:r>
      <w:r w:rsidR="005D3CD5" w:rsidRPr="005D3CD5">
        <w:rPr>
          <w:lang w:val="fr-FR"/>
        </w:rPr>
        <w:t>’</w:t>
      </w:r>
      <w:r w:rsidRPr="005D3CD5">
        <w:rPr>
          <w:lang w:val="fr-FR"/>
        </w:rPr>
        <w:t>il s</w:t>
      </w:r>
      <w:r w:rsidR="005D3CD5" w:rsidRPr="005D3CD5">
        <w:rPr>
          <w:lang w:val="fr-FR"/>
        </w:rPr>
        <w:t>’</w:t>
      </w:r>
      <w:r w:rsidRPr="005D3CD5">
        <w:rPr>
          <w:lang w:val="fr-FR"/>
        </w:rPr>
        <w:t>agit de la détention régulière d</w:t>
      </w:r>
      <w:r w:rsidR="005D3CD5" w:rsidRPr="005D3CD5">
        <w:rPr>
          <w:lang w:val="fr-FR"/>
        </w:rPr>
        <w:t>’</w:t>
      </w:r>
      <w:r w:rsidRPr="005D3CD5">
        <w:rPr>
          <w:lang w:val="fr-FR"/>
        </w:rPr>
        <w:t>une personne susceptible de propager une maladie contagieuse, d</w:t>
      </w:r>
      <w:r w:rsidR="005D3CD5" w:rsidRPr="005D3CD5">
        <w:rPr>
          <w:lang w:val="fr-FR"/>
        </w:rPr>
        <w:t>’</w:t>
      </w:r>
      <w:r w:rsidRPr="005D3CD5">
        <w:rPr>
          <w:lang w:val="fr-FR"/>
        </w:rPr>
        <w:t>un aliéné, d</w:t>
      </w:r>
      <w:r w:rsidR="005D3CD5" w:rsidRPr="005D3CD5">
        <w:rPr>
          <w:lang w:val="fr-FR"/>
        </w:rPr>
        <w:t>’</w:t>
      </w:r>
      <w:r w:rsidRPr="005D3CD5">
        <w:rPr>
          <w:lang w:val="fr-FR"/>
        </w:rPr>
        <w:t>un alcoolique, d</w:t>
      </w:r>
      <w:r w:rsidR="005D3CD5" w:rsidRPr="005D3CD5">
        <w:rPr>
          <w:lang w:val="fr-FR"/>
        </w:rPr>
        <w:t>’</w:t>
      </w:r>
      <w:r w:rsidRPr="005D3CD5">
        <w:rPr>
          <w:lang w:val="fr-FR"/>
        </w:rPr>
        <w:t>un toxicomane ou d</w:t>
      </w:r>
      <w:r w:rsidR="005D3CD5" w:rsidRPr="005D3CD5">
        <w:rPr>
          <w:lang w:val="fr-FR"/>
        </w:rPr>
        <w:t>’</w:t>
      </w:r>
      <w:r w:rsidRPr="005D3CD5">
        <w:rPr>
          <w:lang w:val="fr-FR"/>
        </w:rPr>
        <w:t>un vagabond ;</w:t>
      </w:r>
    </w:p>
    <w:p w:rsidR="00E60556" w:rsidRPr="005D3CD5" w:rsidRDefault="00E60556" w:rsidP="005D3CD5">
      <w:pPr>
        <w:pStyle w:val="ECHRParaQuote"/>
        <w:rPr>
          <w:lang w:val="fr-FR"/>
        </w:rPr>
      </w:pPr>
      <w:r w:rsidRPr="005D3CD5">
        <w:rPr>
          <w:lang w:val="fr-FR"/>
        </w:rPr>
        <w:t>f) s</w:t>
      </w:r>
      <w:r w:rsidR="005D3CD5" w:rsidRPr="005D3CD5">
        <w:rPr>
          <w:lang w:val="fr-FR"/>
        </w:rPr>
        <w:t>’</w:t>
      </w:r>
      <w:r w:rsidRPr="005D3CD5">
        <w:rPr>
          <w:lang w:val="fr-FR"/>
        </w:rPr>
        <w:t>il s</w:t>
      </w:r>
      <w:r w:rsidR="005D3CD5" w:rsidRPr="005D3CD5">
        <w:rPr>
          <w:lang w:val="fr-FR"/>
        </w:rPr>
        <w:t>’</w:t>
      </w:r>
      <w:r w:rsidRPr="005D3CD5">
        <w:rPr>
          <w:lang w:val="fr-FR"/>
        </w:rPr>
        <w:t>agit de l</w:t>
      </w:r>
      <w:r w:rsidR="005D3CD5" w:rsidRPr="005D3CD5">
        <w:rPr>
          <w:lang w:val="fr-FR"/>
        </w:rPr>
        <w:t>’</w:t>
      </w:r>
      <w:r w:rsidRPr="005D3CD5">
        <w:rPr>
          <w:lang w:val="fr-FR"/>
        </w:rPr>
        <w:t>arrestation ou de la détention régulières d</w:t>
      </w:r>
      <w:r w:rsidR="005D3CD5" w:rsidRPr="005D3CD5">
        <w:rPr>
          <w:lang w:val="fr-FR"/>
        </w:rPr>
        <w:t>’</w:t>
      </w:r>
      <w:r w:rsidRPr="005D3CD5">
        <w:rPr>
          <w:lang w:val="fr-FR"/>
        </w:rPr>
        <w:t>une personne pour l</w:t>
      </w:r>
      <w:r w:rsidR="005D3CD5" w:rsidRPr="005D3CD5">
        <w:rPr>
          <w:lang w:val="fr-FR"/>
        </w:rPr>
        <w:t>’</w:t>
      </w:r>
      <w:r w:rsidRPr="005D3CD5">
        <w:rPr>
          <w:lang w:val="fr-FR"/>
        </w:rPr>
        <w:t>empêcher de pénétrer irrégulièrement dans le territoire, ou contre laquelle une procédure d</w:t>
      </w:r>
      <w:r w:rsidR="005D3CD5" w:rsidRPr="005D3CD5">
        <w:rPr>
          <w:lang w:val="fr-FR"/>
        </w:rPr>
        <w:t>’</w:t>
      </w:r>
      <w:r w:rsidRPr="005D3CD5">
        <w:rPr>
          <w:lang w:val="fr-FR"/>
        </w:rPr>
        <w:t>expulsion ou d</w:t>
      </w:r>
      <w:r w:rsidR="005D3CD5" w:rsidRPr="005D3CD5">
        <w:rPr>
          <w:lang w:val="fr-FR"/>
        </w:rPr>
        <w:t>’extradition est en cours. </w:t>
      </w:r>
      <w:r w:rsidRPr="005D3CD5">
        <w:rPr>
          <w:lang w:val="fr-FR"/>
        </w:rPr>
        <w:t>»</w:t>
      </w:r>
    </w:p>
    <w:p w:rsidR="00E60556" w:rsidRPr="005D3CD5" w:rsidRDefault="007A0DCE"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35</w:t>
      </w:r>
      <w:r w:rsidRPr="005D3CD5">
        <w:rPr>
          <w:lang w:val="fr-FR"/>
        </w:rPr>
        <w:fldChar w:fldCharType="end"/>
      </w:r>
      <w:r w:rsidRPr="005D3CD5">
        <w:rPr>
          <w:lang w:val="fr-FR"/>
        </w:rPr>
        <w:t>.  </w:t>
      </w:r>
      <w:r w:rsidR="00E60556" w:rsidRPr="005D3CD5">
        <w:rPr>
          <w:lang w:val="fr-FR"/>
        </w:rPr>
        <w:t xml:space="preserve">Le Gouvernement conteste </w:t>
      </w:r>
      <w:r w:rsidR="00A965EA" w:rsidRPr="005D3CD5">
        <w:rPr>
          <w:lang w:val="fr-FR"/>
        </w:rPr>
        <w:t>la</w:t>
      </w:r>
      <w:r w:rsidR="00E60556" w:rsidRPr="005D3CD5">
        <w:rPr>
          <w:lang w:val="fr-FR"/>
        </w:rPr>
        <w:t xml:space="preserve"> thèse</w:t>
      </w:r>
      <w:r w:rsidR="00A965EA" w:rsidRPr="005D3CD5">
        <w:rPr>
          <w:lang w:val="fr-FR"/>
        </w:rPr>
        <w:t xml:space="preserve"> des requérants</w:t>
      </w:r>
      <w:r w:rsidR="00E60556" w:rsidRPr="005D3CD5">
        <w:rPr>
          <w:lang w:val="fr-FR"/>
        </w:rPr>
        <w:t>.</w:t>
      </w:r>
    </w:p>
    <w:p w:rsidR="00E77CB3" w:rsidRPr="005D3CD5" w:rsidRDefault="00E77CB3" w:rsidP="005D3CD5">
      <w:pPr>
        <w:pStyle w:val="ECHRHeading2"/>
        <w:rPr>
          <w:lang w:val="fr-FR"/>
        </w:rPr>
      </w:pPr>
      <w:r w:rsidRPr="005D3CD5">
        <w:rPr>
          <w:lang w:val="fr-FR"/>
        </w:rPr>
        <w:t>A.  Sur la recevabilité</w:t>
      </w:r>
    </w:p>
    <w:p w:rsidR="00817987" w:rsidRPr="005D3CD5" w:rsidRDefault="00817987" w:rsidP="005D3CD5">
      <w:pPr>
        <w:pStyle w:val="ECHRHeading3"/>
        <w:rPr>
          <w:lang w:val="fr-FR"/>
        </w:rPr>
      </w:pPr>
      <w:r w:rsidRPr="005D3CD5">
        <w:rPr>
          <w:lang w:val="fr-FR"/>
        </w:rPr>
        <w:t>1.</w:t>
      </w:r>
      <w:r w:rsidR="00DE6131" w:rsidRPr="005D3CD5">
        <w:rPr>
          <w:lang w:val="fr-FR"/>
        </w:rPr>
        <w:t>  </w:t>
      </w:r>
      <w:r w:rsidRPr="005D3CD5">
        <w:rPr>
          <w:lang w:val="fr-FR"/>
        </w:rPr>
        <w:t>Sur l</w:t>
      </w:r>
      <w:r w:rsidR="005D3CD5" w:rsidRPr="005D3CD5">
        <w:rPr>
          <w:lang w:val="fr-FR"/>
        </w:rPr>
        <w:t>’</w:t>
      </w:r>
      <w:r w:rsidRPr="005D3CD5">
        <w:rPr>
          <w:lang w:val="fr-FR"/>
        </w:rPr>
        <w:t>exception de non</w:t>
      </w:r>
      <w:r w:rsidR="00B8240D" w:rsidRPr="005D3CD5">
        <w:rPr>
          <w:lang w:val="fr-FR"/>
        </w:rPr>
        <w:t>-</w:t>
      </w:r>
      <w:r w:rsidR="00BF2280" w:rsidRPr="005D3CD5">
        <w:rPr>
          <w:lang w:val="fr-FR"/>
        </w:rPr>
        <w:t>épuisement de</w:t>
      </w:r>
      <w:r w:rsidRPr="005D3CD5">
        <w:rPr>
          <w:lang w:val="fr-FR"/>
        </w:rPr>
        <w:t>s</w:t>
      </w:r>
      <w:r w:rsidR="00BF2280" w:rsidRPr="005D3CD5">
        <w:rPr>
          <w:lang w:val="fr-FR"/>
        </w:rPr>
        <w:t xml:space="preserve"> </w:t>
      </w:r>
      <w:r w:rsidRPr="005D3CD5">
        <w:rPr>
          <w:lang w:val="fr-FR"/>
        </w:rPr>
        <w:t>voies de recours internes</w:t>
      </w:r>
    </w:p>
    <w:p w:rsidR="009F210B" w:rsidRPr="005D3CD5" w:rsidRDefault="007A0DCE"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36</w:t>
      </w:r>
      <w:r w:rsidRPr="005D3CD5">
        <w:rPr>
          <w:lang w:val="fr-FR"/>
        </w:rPr>
        <w:fldChar w:fldCharType="end"/>
      </w:r>
      <w:r w:rsidRPr="005D3CD5">
        <w:rPr>
          <w:lang w:val="fr-FR"/>
        </w:rPr>
        <w:t>.  </w:t>
      </w:r>
      <w:r w:rsidR="00F44243" w:rsidRPr="005D3CD5">
        <w:rPr>
          <w:lang w:val="fr-FR"/>
        </w:rPr>
        <w:t>E</w:t>
      </w:r>
      <w:r w:rsidR="00EB3125" w:rsidRPr="005D3CD5">
        <w:rPr>
          <w:lang w:val="fr-FR"/>
        </w:rPr>
        <w:t>xcip</w:t>
      </w:r>
      <w:r w:rsidR="00F44243" w:rsidRPr="005D3CD5">
        <w:rPr>
          <w:lang w:val="fr-FR"/>
        </w:rPr>
        <w:t>ant</w:t>
      </w:r>
      <w:r w:rsidR="00EB3125" w:rsidRPr="005D3CD5">
        <w:rPr>
          <w:lang w:val="fr-FR"/>
        </w:rPr>
        <w:t xml:space="preserve"> </w:t>
      </w:r>
      <w:r w:rsidR="00F44243" w:rsidRPr="005D3CD5">
        <w:rPr>
          <w:lang w:val="fr-FR"/>
        </w:rPr>
        <w:t>du</w:t>
      </w:r>
      <w:r w:rsidR="00EB3125" w:rsidRPr="005D3CD5">
        <w:rPr>
          <w:lang w:val="fr-FR"/>
        </w:rPr>
        <w:t xml:space="preserve"> non</w:t>
      </w:r>
      <w:r w:rsidR="00B8240D" w:rsidRPr="005D3CD5">
        <w:rPr>
          <w:lang w:val="fr-FR"/>
        </w:rPr>
        <w:t>-</w:t>
      </w:r>
      <w:r w:rsidR="00A27A17" w:rsidRPr="005D3CD5">
        <w:rPr>
          <w:lang w:val="fr-FR"/>
        </w:rPr>
        <w:t>épuisement</w:t>
      </w:r>
      <w:r w:rsidR="00EB3125" w:rsidRPr="005D3CD5">
        <w:rPr>
          <w:lang w:val="fr-FR"/>
        </w:rPr>
        <w:t xml:space="preserve"> des voies de recours internes</w:t>
      </w:r>
      <w:r w:rsidR="00F44243" w:rsidRPr="005D3CD5">
        <w:rPr>
          <w:lang w:val="fr-FR"/>
        </w:rPr>
        <w:t xml:space="preserve">, le Gouvernement argue que, </w:t>
      </w:r>
      <w:r w:rsidR="00EB3125" w:rsidRPr="005D3CD5">
        <w:rPr>
          <w:lang w:val="fr-FR"/>
        </w:rPr>
        <w:t xml:space="preserve">au moment </w:t>
      </w:r>
      <w:r w:rsidR="00A27A17" w:rsidRPr="005D3CD5">
        <w:rPr>
          <w:lang w:val="fr-FR"/>
        </w:rPr>
        <w:t>de l</w:t>
      </w:r>
      <w:r w:rsidR="005D3CD5" w:rsidRPr="005D3CD5">
        <w:rPr>
          <w:lang w:val="fr-FR"/>
        </w:rPr>
        <w:t>’</w:t>
      </w:r>
      <w:r w:rsidR="00A27A17" w:rsidRPr="005D3CD5">
        <w:rPr>
          <w:lang w:val="fr-FR"/>
        </w:rPr>
        <w:t>introduction</w:t>
      </w:r>
      <w:r w:rsidR="00EB3125" w:rsidRPr="005D3CD5">
        <w:rPr>
          <w:lang w:val="fr-FR"/>
        </w:rPr>
        <w:t xml:space="preserve"> </w:t>
      </w:r>
      <w:r w:rsidR="00A27A17" w:rsidRPr="005D3CD5">
        <w:rPr>
          <w:lang w:val="fr-FR"/>
        </w:rPr>
        <w:t>d</w:t>
      </w:r>
      <w:r w:rsidR="00EB3125" w:rsidRPr="005D3CD5">
        <w:rPr>
          <w:lang w:val="fr-FR"/>
        </w:rPr>
        <w:t>e</w:t>
      </w:r>
      <w:r w:rsidR="00F44243" w:rsidRPr="005D3CD5">
        <w:rPr>
          <w:lang w:val="fr-FR"/>
        </w:rPr>
        <w:t>s</w:t>
      </w:r>
      <w:r w:rsidR="00EB3125" w:rsidRPr="005D3CD5">
        <w:rPr>
          <w:lang w:val="fr-FR"/>
        </w:rPr>
        <w:t xml:space="preserve"> requête</w:t>
      </w:r>
      <w:r w:rsidR="00F44243" w:rsidRPr="005D3CD5">
        <w:rPr>
          <w:lang w:val="fr-FR"/>
        </w:rPr>
        <w:t>s</w:t>
      </w:r>
      <w:r w:rsidR="006F726E" w:rsidRPr="005D3CD5">
        <w:rPr>
          <w:lang w:val="fr-FR"/>
        </w:rPr>
        <w:t>,</w:t>
      </w:r>
      <w:r w:rsidR="00EB3125" w:rsidRPr="005D3CD5">
        <w:rPr>
          <w:lang w:val="fr-FR"/>
        </w:rPr>
        <w:t xml:space="preserve"> </w:t>
      </w:r>
      <w:r w:rsidR="006F726E" w:rsidRPr="005D3CD5">
        <w:rPr>
          <w:lang w:val="fr-FR"/>
        </w:rPr>
        <w:t>les procédures</w:t>
      </w:r>
      <w:r w:rsidR="00EB3125" w:rsidRPr="005D3CD5">
        <w:rPr>
          <w:lang w:val="fr-FR"/>
        </w:rPr>
        <w:t xml:space="preserve"> civile</w:t>
      </w:r>
      <w:r w:rsidR="006F726E" w:rsidRPr="005D3CD5">
        <w:rPr>
          <w:lang w:val="fr-FR"/>
        </w:rPr>
        <w:t>s</w:t>
      </w:r>
      <w:r w:rsidR="00EB3125" w:rsidRPr="005D3CD5">
        <w:rPr>
          <w:lang w:val="fr-FR"/>
        </w:rPr>
        <w:t xml:space="preserve"> </w:t>
      </w:r>
      <w:r w:rsidR="00F44243" w:rsidRPr="005D3CD5">
        <w:rPr>
          <w:lang w:val="fr-FR"/>
        </w:rPr>
        <w:t xml:space="preserve">engagées par les requérants </w:t>
      </w:r>
      <w:r w:rsidR="00EB3125" w:rsidRPr="005D3CD5">
        <w:rPr>
          <w:lang w:val="fr-FR"/>
        </w:rPr>
        <w:t>devant le tribunal de Rome étai</w:t>
      </w:r>
      <w:r w:rsidR="00ED7F39" w:rsidRPr="005D3CD5">
        <w:rPr>
          <w:lang w:val="fr-FR"/>
        </w:rPr>
        <w:t>en</w:t>
      </w:r>
      <w:r w:rsidR="00EB3125" w:rsidRPr="005D3CD5">
        <w:rPr>
          <w:lang w:val="fr-FR"/>
        </w:rPr>
        <w:t>t encore pendante</w:t>
      </w:r>
      <w:r w:rsidR="006F726E" w:rsidRPr="005D3CD5">
        <w:rPr>
          <w:lang w:val="fr-FR"/>
        </w:rPr>
        <w:t>s</w:t>
      </w:r>
      <w:r w:rsidR="00EB3125" w:rsidRPr="005D3CD5">
        <w:rPr>
          <w:lang w:val="fr-FR"/>
        </w:rPr>
        <w:t xml:space="preserve">. </w:t>
      </w:r>
      <w:r w:rsidR="00F44243" w:rsidRPr="005D3CD5">
        <w:rPr>
          <w:lang w:val="fr-FR"/>
        </w:rPr>
        <w:t xml:space="preserve">Il </w:t>
      </w:r>
      <w:r w:rsidR="002B5466" w:rsidRPr="005D3CD5">
        <w:rPr>
          <w:lang w:val="fr-FR"/>
        </w:rPr>
        <w:t>indique</w:t>
      </w:r>
      <w:r w:rsidR="00F44243" w:rsidRPr="005D3CD5">
        <w:rPr>
          <w:lang w:val="fr-FR"/>
        </w:rPr>
        <w:t xml:space="preserve"> que c</w:t>
      </w:r>
      <w:r w:rsidR="006F726E" w:rsidRPr="005D3CD5">
        <w:rPr>
          <w:lang w:val="fr-FR"/>
        </w:rPr>
        <w:t>es actions</w:t>
      </w:r>
      <w:r w:rsidR="00EB3125" w:rsidRPr="005D3CD5">
        <w:rPr>
          <w:lang w:val="fr-FR"/>
        </w:rPr>
        <w:t xml:space="preserve"> </w:t>
      </w:r>
      <w:r w:rsidR="006F726E" w:rsidRPr="005D3CD5">
        <w:rPr>
          <w:lang w:val="fr-FR"/>
        </w:rPr>
        <w:t>avaient</w:t>
      </w:r>
      <w:r w:rsidR="00EB3125" w:rsidRPr="005D3CD5">
        <w:rPr>
          <w:lang w:val="fr-FR"/>
        </w:rPr>
        <w:t xml:space="preserve"> été introduite</w:t>
      </w:r>
      <w:r w:rsidR="006F726E" w:rsidRPr="005D3CD5">
        <w:rPr>
          <w:lang w:val="fr-FR"/>
        </w:rPr>
        <w:t>s</w:t>
      </w:r>
      <w:r w:rsidR="00EB3125" w:rsidRPr="005D3CD5">
        <w:rPr>
          <w:lang w:val="fr-FR"/>
        </w:rPr>
        <w:t xml:space="preserve"> </w:t>
      </w:r>
      <w:r w:rsidR="00F44243" w:rsidRPr="005D3CD5">
        <w:rPr>
          <w:lang w:val="fr-FR"/>
        </w:rPr>
        <w:t>aux fins</w:t>
      </w:r>
      <w:r w:rsidR="00EB3125" w:rsidRPr="005D3CD5">
        <w:rPr>
          <w:lang w:val="fr-FR"/>
        </w:rPr>
        <w:t xml:space="preserve"> d</w:t>
      </w:r>
      <w:r w:rsidR="005D3CD5" w:rsidRPr="005D3CD5">
        <w:rPr>
          <w:lang w:val="fr-FR"/>
        </w:rPr>
        <w:t>’</w:t>
      </w:r>
      <w:r w:rsidR="00EB3125" w:rsidRPr="005D3CD5">
        <w:rPr>
          <w:lang w:val="fr-FR"/>
        </w:rPr>
        <w:t>obten</w:t>
      </w:r>
      <w:r w:rsidR="00F44243" w:rsidRPr="005D3CD5">
        <w:rPr>
          <w:lang w:val="fr-FR"/>
        </w:rPr>
        <w:t>tion d</w:t>
      </w:r>
      <w:r w:rsidR="005D3CD5" w:rsidRPr="005D3CD5">
        <w:rPr>
          <w:lang w:val="fr-FR"/>
        </w:rPr>
        <w:t>’</w:t>
      </w:r>
      <w:r w:rsidR="00F44243" w:rsidRPr="005D3CD5">
        <w:rPr>
          <w:lang w:val="fr-FR"/>
        </w:rPr>
        <w:t>u</w:t>
      </w:r>
      <w:r w:rsidR="00EB3125" w:rsidRPr="005D3CD5">
        <w:rPr>
          <w:lang w:val="fr-FR"/>
        </w:rPr>
        <w:t xml:space="preserve">ne compensation pour les dommages </w:t>
      </w:r>
      <w:r w:rsidR="00F44243" w:rsidRPr="005D3CD5">
        <w:rPr>
          <w:lang w:val="fr-FR"/>
        </w:rPr>
        <w:t xml:space="preserve">qui auraient été </w:t>
      </w:r>
      <w:r w:rsidR="00A27A17" w:rsidRPr="005D3CD5">
        <w:rPr>
          <w:lang w:val="fr-FR"/>
        </w:rPr>
        <w:t xml:space="preserve">subis </w:t>
      </w:r>
      <w:r w:rsidR="00BF10FE" w:rsidRPr="005D3CD5">
        <w:rPr>
          <w:lang w:val="fr-FR"/>
        </w:rPr>
        <w:t xml:space="preserve">par les intéressés </w:t>
      </w:r>
      <w:r w:rsidR="00F44243" w:rsidRPr="005D3CD5">
        <w:rPr>
          <w:lang w:val="fr-FR"/>
        </w:rPr>
        <w:t xml:space="preserve">à la </w:t>
      </w:r>
      <w:r w:rsidR="00EB3125" w:rsidRPr="005D3CD5">
        <w:rPr>
          <w:lang w:val="fr-FR"/>
        </w:rPr>
        <w:t xml:space="preserve">suite </w:t>
      </w:r>
      <w:r w:rsidR="00F44243" w:rsidRPr="005D3CD5">
        <w:rPr>
          <w:lang w:val="fr-FR"/>
        </w:rPr>
        <w:t>de</w:t>
      </w:r>
      <w:r w:rsidR="00985C73" w:rsidRPr="005D3CD5">
        <w:rPr>
          <w:lang w:val="fr-FR"/>
        </w:rPr>
        <w:t xml:space="preserve"> </w:t>
      </w:r>
      <w:r w:rsidR="00817987" w:rsidRPr="005D3CD5">
        <w:rPr>
          <w:lang w:val="fr-FR"/>
        </w:rPr>
        <w:t>la prolongation</w:t>
      </w:r>
      <w:r w:rsidR="00A27A17" w:rsidRPr="005D3CD5">
        <w:rPr>
          <w:lang w:val="fr-FR"/>
        </w:rPr>
        <w:t xml:space="preserve"> d</w:t>
      </w:r>
      <w:r w:rsidR="00985C73" w:rsidRPr="005D3CD5">
        <w:rPr>
          <w:lang w:val="fr-FR"/>
        </w:rPr>
        <w:t>e la mesure d</w:t>
      </w:r>
      <w:r w:rsidR="00EB3125" w:rsidRPr="005D3CD5">
        <w:rPr>
          <w:lang w:val="fr-FR"/>
        </w:rPr>
        <w:t>e</w:t>
      </w:r>
      <w:r w:rsidR="00985C73" w:rsidRPr="005D3CD5">
        <w:rPr>
          <w:lang w:val="fr-FR"/>
        </w:rPr>
        <w:t xml:space="preserve"> </w:t>
      </w:r>
      <w:r w:rsidR="00A27A17" w:rsidRPr="005D3CD5">
        <w:rPr>
          <w:lang w:val="fr-FR"/>
        </w:rPr>
        <w:t>rétention</w:t>
      </w:r>
      <w:r w:rsidR="00EB3125" w:rsidRPr="005D3CD5">
        <w:rPr>
          <w:lang w:val="fr-FR"/>
        </w:rPr>
        <w:t>.</w:t>
      </w:r>
    </w:p>
    <w:p w:rsidR="006F726E" w:rsidRPr="005D3CD5" w:rsidRDefault="00817987"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37</w:t>
      </w:r>
      <w:r w:rsidRPr="005D3CD5">
        <w:rPr>
          <w:lang w:val="fr-FR"/>
        </w:rPr>
        <w:fldChar w:fldCharType="end"/>
      </w:r>
      <w:r w:rsidRPr="005D3CD5">
        <w:rPr>
          <w:lang w:val="fr-FR"/>
        </w:rPr>
        <w:t>.  </w:t>
      </w:r>
      <w:r w:rsidR="005863A8" w:rsidRPr="005D3CD5">
        <w:rPr>
          <w:lang w:val="fr-FR"/>
        </w:rPr>
        <w:t>Le G</w:t>
      </w:r>
      <w:r w:rsidR="006F726E" w:rsidRPr="005D3CD5">
        <w:rPr>
          <w:lang w:val="fr-FR"/>
        </w:rPr>
        <w:t xml:space="preserve">ouvernement </w:t>
      </w:r>
      <w:r w:rsidR="002B5466" w:rsidRPr="005D3CD5">
        <w:rPr>
          <w:lang w:val="fr-FR"/>
        </w:rPr>
        <w:t>ajoute</w:t>
      </w:r>
      <w:r w:rsidR="006F726E" w:rsidRPr="005D3CD5">
        <w:rPr>
          <w:lang w:val="fr-FR"/>
        </w:rPr>
        <w:t xml:space="preserve"> </w:t>
      </w:r>
      <w:r w:rsidR="007F263F" w:rsidRPr="005D3CD5">
        <w:rPr>
          <w:lang w:val="fr-FR"/>
        </w:rPr>
        <w:t xml:space="preserve">ensuite </w:t>
      </w:r>
      <w:r w:rsidR="006F726E" w:rsidRPr="005D3CD5">
        <w:rPr>
          <w:lang w:val="fr-FR"/>
        </w:rPr>
        <w:t>que</w:t>
      </w:r>
      <w:r w:rsidRPr="005D3CD5">
        <w:rPr>
          <w:lang w:val="fr-FR"/>
        </w:rPr>
        <w:t xml:space="preserve"> </w:t>
      </w:r>
      <w:r w:rsidR="00BF10FE" w:rsidRPr="005D3CD5">
        <w:rPr>
          <w:lang w:val="fr-FR"/>
        </w:rPr>
        <w:t>c</w:t>
      </w:r>
      <w:r w:rsidR="004172C8" w:rsidRPr="005D3CD5">
        <w:rPr>
          <w:lang w:val="fr-FR"/>
        </w:rPr>
        <w:t>e</w:t>
      </w:r>
      <w:r w:rsidR="002B5466" w:rsidRPr="005D3CD5">
        <w:rPr>
          <w:lang w:val="fr-FR"/>
        </w:rPr>
        <w:t>s</w:t>
      </w:r>
      <w:r w:rsidR="004172C8" w:rsidRPr="005D3CD5">
        <w:rPr>
          <w:lang w:val="fr-FR"/>
        </w:rPr>
        <w:t xml:space="preserve"> recours </w:t>
      </w:r>
      <w:r w:rsidR="006F726E" w:rsidRPr="005D3CD5">
        <w:rPr>
          <w:lang w:val="fr-FR"/>
        </w:rPr>
        <w:t>ont</w:t>
      </w:r>
      <w:r w:rsidR="004172C8" w:rsidRPr="005D3CD5">
        <w:rPr>
          <w:lang w:val="fr-FR"/>
        </w:rPr>
        <w:t xml:space="preserve"> été rejeté</w:t>
      </w:r>
      <w:r w:rsidR="006F726E" w:rsidRPr="005D3CD5">
        <w:rPr>
          <w:lang w:val="fr-FR"/>
        </w:rPr>
        <w:t>s</w:t>
      </w:r>
      <w:r w:rsidR="004172C8" w:rsidRPr="005D3CD5">
        <w:rPr>
          <w:lang w:val="fr-FR"/>
        </w:rPr>
        <w:t xml:space="preserve"> par le tribunal de Rome</w:t>
      </w:r>
      <w:r w:rsidR="002B5466" w:rsidRPr="005D3CD5">
        <w:rPr>
          <w:lang w:val="fr-FR"/>
        </w:rPr>
        <w:t xml:space="preserve">. Il précise que </w:t>
      </w:r>
      <w:r w:rsidRPr="005D3CD5">
        <w:rPr>
          <w:lang w:val="fr-FR"/>
        </w:rPr>
        <w:t>ce dernier n</w:t>
      </w:r>
      <w:r w:rsidR="005D3CD5" w:rsidRPr="005D3CD5">
        <w:rPr>
          <w:lang w:val="fr-FR"/>
        </w:rPr>
        <w:t>’</w:t>
      </w:r>
      <w:r w:rsidRPr="005D3CD5">
        <w:rPr>
          <w:lang w:val="fr-FR"/>
        </w:rPr>
        <w:t xml:space="preserve">a pas </w:t>
      </w:r>
      <w:r w:rsidR="004172C8" w:rsidRPr="005D3CD5">
        <w:rPr>
          <w:lang w:val="fr-FR"/>
        </w:rPr>
        <w:t xml:space="preserve">retenu la responsabilité du </w:t>
      </w:r>
      <w:r w:rsidR="002B5466" w:rsidRPr="005D3CD5">
        <w:rPr>
          <w:lang w:val="fr-FR"/>
        </w:rPr>
        <w:t>m</w:t>
      </w:r>
      <w:r w:rsidR="00A27A17" w:rsidRPr="005D3CD5">
        <w:rPr>
          <w:lang w:val="fr-FR"/>
        </w:rPr>
        <w:t>inistère</w:t>
      </w:r>
      <w:r w:rsidR="004172C8" w:rsidRPr="005D3CD5">
        <w:rPr>
          <w:lang w:val="fr-FR"/>
        </w:rPr>
        <w:t xml:space="preserve"> de l</w:t>
      </w:r>
      <w:r w:rsidR="005D3CD5" w:rsidRPr="005D3CD5">
        <w:rPr>
          <w:lang w:val="fr-FR"/>
        </w:rPr>
        <w:t>’</w:t>
      </w:r>
      <w:r w:rsidRPr="005D3CD5">
        <w:rPr>
          <w:lang w:val="fr-FR"/>
        </w:rPr>
        <w:t>I</w:t>
      </w:r>
      <w:r w:rsidR="00A27A17" w:rsidRPr="005D3CD5">
        <w:rPr>
          <w:lang w:val="fr-FR"/>
        </w:rPr>
        <w:t>ntérieur</w:t>
      </w:r>
      <w:r w:rsidR="007F263F" w:rsidRPr="005D3CD5">
        <w:rPr>
          <w:lang w:val="fr-FR"/>
        </w:rPr>
        <w:t xml:space="preserve"> et </w:t>
      </w:r>
      <w:r w:rsidR="002B5466" w:rsidRPr="005D3CD5">
        <w:rPr>
          <w:lang w:val="fr-FR"/>
        </w:rPr>
        <w:t xml:space="preserve">que, </w:t>
      </w:r>
      <w:r w:rsidR="007F263F" w:rsidRPr="005D3CD5">
        <w:rPr>
          <w:lang w:val="fr-FR"/>
        </w:rPr>
        <w:t>s</w:t>
      </w:r>
      <w:r w:rsidR="005D3CD5" w:rsidRPr="005D3CD5">
        <w:rPr>
          <w:lang w:val="fr-FR"/>
        </w:rPr>
        <w:t>’</w:t>
      </w:r>
      <w:r w:rsidR="007F263F" w:rsidRPr="005D3CD5">
        <w:rPr>
          <w:lang w:val="fr-FR"/>
        </w:rPr>
        <w:t xml:space="preserve">agissant du </w:t>
      </w:r>
      <w:r w:rsidR="002B5466" w:rsidRPr="005D3CD5">
        <w:rPr>
          <w:lang w:val="fr-FR"/>
        </w:rPr>
        <w:t>m</w:t>
      </w:r>
      <w:r w:rsidR="00985B03" w:rsidRPr="005D3CD5">
        <w:rPr>
          <w:lang w:val="fr-FR"/>
        </w:rPr>
        <w:t>inistère de la J</w:t>
      </w:r>
      <w:r w:rsidR="006F726E" w:rsidRPr="005D3CD5">
        <w:rPr>
          <w:lang w:val="fr-FR"/>
        </w:rPr>
        <w:t>ustice, il a indiqué au</w:t>
      </w:r>
      <w:r w:rsidR="002B5466" w:rsidRPr="005D3CD5">
        <w:rPr>
          <w:lang w:val="fr-FR"/>
        </w:rPr>
        <w:t>x</w:t>
      </w:r>
      <w:r w:rsidR="006F726E" w:rsidRPr="005D3CD5">
        <w:rPr>
          <w:lang w:val="fr-FR"/>
        </w:rPr>
        <w:t xml:space="preserve"> requérant</w:t>
      </w:r>
      <w:r w:rsidR="002B5466" w:rsidRPr="005D3CD5">
        <w:rPr>
          <w:lang w:val="fr-FR"/>
        </w:rPr>
        <w:t>s</w:t>
      </w:r>
      <w:r w:rsidR="006F726E" w:rsidRPr="005D3CD5">
        <w:rPr>
          <w:lang w:val="fr-FR"/>
        </w:rPr>
        <w:t xml:space="preserve"> que le recours à </w:t>
      </w:r>
      <w:r w:rsidR="002B5466" w:rsidRPr="005D3CD5">
        <w:rPr>
          <w:lang w:val="fr-FR"/>
        </w:rPr>
        <w:t>exercer</w:t>
      </w:r>
      <w:r w:rsidR="006F726E" w:rsidRPr="005D3CD5">
        <w:rPr>
          <w:lang w:val="fr-FR"/>
        </w:rPr>
        <w:t xml:space="preserve"> était celui </w:t>
      </w:r>
      <w:r w:rsidR="00293AD5" w:rsidRPr="005D3CD5">
        <w:rPr>
          <w:lang w:val="fr-FR"/>
        </w:rPr>
        <w:t xml:space="preserve">concernant </w:t>
      </w:r>
      <w:r w:rsidR="006F726E" w:rsidRPr="005D3CD5">
        <w:rPr>
          <w:lang w:val="fr-FR"/>
        </w:rPr>
        <w:t>la responsabilité civile des magistrats.</w:t>
      </w:r>
    </w:p>
    <w:p w:rsidR="00817987" w:rsidRPr="005D3CD5" w:rsidRDefault="00817987"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38</w:t>
      </w:r>
      <w:r w:rsidRPr="005D3CD5">
        <w:rPr>
          <w:lang w:val="fr-FR"/>
        </w:rPr>
        <w:fldChar w:fldCharType="end"/>
      </w:r>
      <w:r w:rsidRPr="005D3CD5">
        <w:rPr>
          <w:lang w:val="fr-FR"/>
        </w:rPr>
        <w:t>.  </w:t>
      </w:r>
      <w:r w:rsidR="00A91D18" w:rsidRPr="005D3CD5">
        <w:rPr>
          <w:lang w:val="fr-FR"/>
        </w:rPr>
        <w:t>En outre, l</w:t>
      </w:r>
      <w:r w:rsidRPr="005D3CD5">
        <w:rPr>
          <w:lang w:val="fr-FR"/>
        </w:rPr>
        <w:t>e G</w:t>
      </w:r>
      <w:r w:rsidR="00EB3125" w:rsidRPr="005D3CD5">
        <w:rPr>
          <w:lang w:val="fr-FR"/>
        </w:rPr>
        <w:t>ouvernement</w:t>
      </w:r>
      <w:r w:rsidR="002A62A1" w:rsidRPr="005D3CD5">
        <w:rPr>
          <w:lang w:val="fr-FR"/>
        </w:rPr>
        <w:t xml:space="preserve"> </w:t>
      </w:r>
      <w:r w:rsidR="00A91D18" w:rsidRPr="005D3CD5">
        <w:rPr>
          <w:lang w:val="fr-FR"/>
        </w:rPr>
        <w:t xml:space="preserve">indique </w:t>
      </w:r>
      <w:r w:rsidR="00EB3125" w:rsidRPr="005D3CD5">
        <w:rPr>
          <w:lang w:val="fr-FR"/>
        </w:rPr>
        <w:t>que</w:t>
      </w:r>
      <w:r w:rsidR="007F263F" w:rsidRPr="005D3CD5">
        <w:rPr>
          <w:lang w:val="fr-FR"/>
        </w:rPr>
        <w:t>,</w:t>
      </w:r>
      <w:r w:rsidR="00EB3125" w:rsidRPr="005D3CD5">
        <w:rPr>
          <w:lang w:val="fr-FR"/>
        </w:rPr>
        <w:t xml:space="preserve"> </w:t>
      </w:r>
      <w:r w:rsidR="00DA7A97" w:rsidRPr="005D3CD5">
        <w:rPr>
          <w:lang w:val="fr-FR"/>
        </w:rPr>
        <w:t>dans une affaire qu</w:t>
      </w:r>
      <w:r w:rsidR="005D3CD5" w:rsidRPr="005D3CD5">
        <w:rPr>
          <w:lang w:val="fr-FR"/>
        </w:rPr>
        <w:t>’</w:t>
      </w:r>
      <w:r w:rsidR="00DA7A97" w:rsidRPr="005D3CD5">
        <w:rPr>
          <w:lang w:val="fr-FR"/>
        </w:rPr>
        <w:t xml:space="preserve">il qualifie de similaire, </w:t>
      </w:r>
      <w:r w:rsidR="00EB3125" w:rsidRPr="005D3CD5">
        <w:rPr>
          <w:lang w:val="fr-FR"/>
        </w:rPr>
        <w:t>par une décision du 13 mars 2013,</w:t>
      </w:r>
      <w:r w:rsidR="002A62A1" w:rsidRPr="005D3CD5">
        <w:rPr>
          <w:lang w:val="fr-FR"/>
        </w:rPr>
        <w:t xml:space="preserve"> le tribunal de Rome a </w:t>
      </w:r>
      <w:r w:rsidR="00DA7A97" w:rsidRPr="005D3CD5">
        <w:rPr>
          <w:lang w:val="fr-FR"/>
        </w:rPr>
        <w:t xml:space="preserve">indemnisé un </w:t>
      </w:r>
      <w:r w:rsidR="008412F6" w:rsidRPr="005D3CD5">
        <w:rPr>
          <w:lang w:val="fr-FR"/>
        </w:rPr>
        <w:t>étranger</w:t>
      </w:r>
      <w:r w:rsidR="002A62A1" w:rsidRPr="005D3CD5">
        <w:rPr>
          <w:lang w:val="fr-FR"/>
        </w:rPr>
        <w:t xml:space="preserve"> </w:t>
      </w:r>
      <w:r w:rsidR="00A27A17" w:rsidRPr="005D3CD5">
        <w:rPr>
          <w:lang w:val="fr-FR"/>
        </w:rPr>
        <w:t>détenu</w:t>
      </w:r>
      <w:r w:rsidR="002A62A1" w:rsidRPr="005D3CD5">
        <w:rPr>
          <w:lang w:val="fr-FR"/>
        </w:rPr>
        <w:t xml:space="preserve"> en vue de son expulsion</w:t>
      </w:r>
      <w:r w:rsidR="00A91D18" w:rsidRPr="005D3CD5">
        <w:rPr>
          <w:lang w:val="fr-FR"/>
        </w:rPr>
        <w:t xml:space="preserve"> de manière illégale</w:t>
      </w:r>
      <w:r w:rsidR="002A62A1" w:rsidRPr="005D3CD5">
        <w:rPr>
          <w:lang w:val="fr-FR"/>
        </w:rPr>
        <w:t xml:space="preserve">. </w:t>
      </w:r>
      <w:r w:rsidR="00A91D18" w:rsidRPr="005D3CD5">
        <w:rPr>
          <w:lang w:val="fr-FR"/>
        </w:rPr>
        <w:t>Il en</w:t>
      </w:r>
      <w:r w:rsidR="00E706F7" w:rsidRPr="005D3CD5">
        <w:rPr>
          <w:lang w:val="fr-FR"/>
        </w:rPr>
        <w:t xml:space="preserve"> déduit</w:t>
      </w:r>
      <w:r w:rsidR="002A62A1" w:rsidRPr="005D3CD5">
        <w:rPr>
          <w:lang w:val="fr-FR"/>
        </w:rPr>
        <w:t xml:space="preserve"> que le </w:t>
      </w:r>
      <w:r w:rsidR="00A91D18" w:rsidRPr="005D3CD5">
        <w:rPr>
          <w:lang w:val="fr-FR"/>
        </w:rPr>
        <w:t xml:space="preserve">recours suggéré par lui </w:t>
      </w:r>
      <w:r w:rsidR="002A62A1" w:rsidRPr="005D3CD5">
        <w:rPr>
          <w:lang w:val="fr-FR"/>
        </w:rPr>
        <w:t xml:space="preserve">est </w:t>
      </w:r>
      <w:r w:rsidR="00A91D18" w:rsidRPr="005D3CD5">
        <w:rPr>
          <w:lang w:val="fr-FR"/>
        </w:rPr>
        <w:t xml:space="preserve">un remède </w:t>
      </w:r>
      <w:r w:rsidR="00A27A17" w:rsidRPr="005D3CD5">
        <w:rPr>
          <w:lang w:val="fr-FR"/>
        </w:rPr>
        <w:t>accessible</w:t>
      </w:r>
      <w:r w:rsidR="00A91D18" w:rsidRPr="005D3CD5">
        <w:rPr>
          <w:lang w:val="fr-FR"/>
        </w:rPr>
        <w:t xml:space="preserve"> et </w:t>
      </w:r>
      <w:r w:rsidR="002A62A1" w:rsidRPr="005D3CD5">
        <w:rPr>
          <w:lang w:val="fr-FR"/>
        </w:rPr>
        <w:t xml:space="preserve">effectif </w:t>
      </w:r>
      <w:r w:rsidR="00DA7A97" w:rsidRPr="005D3CD5">
        <w:rPr>
          <w:lang w:val="fr-FR"/>
        </w:rPr>
        <w:t>et qu</w:t>
      </w:r>
      <w:r w:rsidR="005D3CD5" w:rsidRPr="005D3CD5">
        <w:rPr>
          <w:lang w:val="fr-FR"/>
        </w:rPr>
        <w:t>’</w:t>
      </w:r>
      <w:r w:rsidR="00DA7A97" w:rsidRPr="005D3CD5">
        <w:rPr>
          <w:lang w:val="fr-FR"/>
        </w:rPr>
        <w:t>il</w:t>
      </w:r>
      <w:r w:rsidR="00A91D18" w:rsidRPr="005D3CD5">
        <w:rPr>
          <w:lang w:val="fr-FR"/>
        </w:rPr>
        <w:t xml:space="preserve"> convient</w:t>
      </w:r>
      <w:r w:rsidR="002A62A1" w:rsidRPr="005D3CD5">
        <w:rPr>
          <w:lang w:val="fr-FR"/>
        </w:rPr>
        <w:t xml:space="preserve"> donc </w:t>
      </w:r>
      <w:r w:rsidR="00A91D18" w:rsidRPr="005D3CD5">
        <w:rPr>
          <w:lang w:val="fr-FR"/>
        </w:rPr>
        <w:t>d</w:t>
      </w:r>
      <w:r w:rsidR="005D3CD5" w:rsidRPr="005D3CD5">
        <w:rPr>
          <w:lang w:val="fr-FR"/>
        </w:rPr>
        <w:t>’</w:t>
      </w:r>
      <w:r w:rsidR="00DA7A97" w:rsidRPr="005D3CD5">
        <w:rPr>
          <w:lang w:val="fr-FR"/>
        </w:rPr>
        <w:t>en</w:t>
      </w:r>
      <w:r w:rsidR="00A91D18" w:rsidRPr="005D3CD5">
        <w:rPr>
          <w:lang w:val="fr-FR"/>
        </w:rPr>
        <w:t xml:space="preserve"> faire usage</w:t>
      </w:r>
      <w:r w:rsidR="002A62A1" w:rsidRPr="005D3CD5">
        <w:rPr>
          <w:lang w:val="fr-FR"/>
        </w:rPr>
        <w:t>.</w:t>
      </w:r>
      <w:r w:rsidR="006F726E" w:rsidRPr="005D3CD5">
        <w:rPr>
          <w:lang w:val="fr-FR"/>
        </w:rPr>
        <w:t xml:space="preserve"> </w:t>
      </w:r>
      <w:r w:rsidR="008E15D6" w:rsidRPr="005D3CD5">
        <w:rPr>
          <w:lang w:val="fr-FR"/>
        </w:rPr>
        <w:t>Il</w:t>
      </w:r>
      <w:r w:rsidRPr="005D3CD5">
        <w:rPr>
          <w:lang w:val="fr-FR"/>
        </w:rPr>
        <w:t xml:space="preserve"> est également d</w:t>
      </w:r>
      <w:r w:rsidR="005D3CD5" w:rsidRPr="005D3CD5">
        <w:rPr>
          <w:lang w:val="fr-FR"/>
        </w:rPr>
        <w:t>’</w:t>
      </w:r>
      <w:r w:rsidRPr="005D3CD5">
        <w:rPr>
          <w:lang w:val="fr-FR"/>
        </w:rPr>
        <w:t>avis que</w:t>
      </w:r>
      <w:r w:rsidR="008412F6" w:rsidRPr="005D3CD5">
        <w:rPr>
          <w:lang w:val="fr-FR"/>
        </w:rPr>
        <w:t>, en l</w:t>
      </w:r>
      <w:r w:rsidR="005D3CD5" w:rsidRPr="005D3CD5">
        <w:rPr>
          <w:lang w:val="fr-FR"/>
        </w:rPr>
        <w:t>’</w:t>
      </w:r>
      <w:r w:rsidR="008412F6" w:rsidRPr="005D3CD5">
        <w:rPr>
          <w:lang w:val="fr-FR"/>
        </w:rPr>
        <w:t>espèce,</w:t>
      </w:r>
      <w:r w:rsidRPr="005D3CD5">
        <w:rPr>
          <w:lang w:val="fr-FR"/>
        </w:rPr>
        <w:t xml:space="preserve"> </w:t>
      </w:r>
      <w:r w:rsidR="009734BF" w:rsidRPr="005D3CD5">
        <w:rPr>
          <w:lang w:val="fr-FR"/>
        </w:rPr>
        <w:t xml:space="preserve">le tribunal de Rome a rejeté </w:t>
      </w:r>
      <w:r w:rsidR="004172C8" w:rsidRPr="005D3CD5">
        <w:rPr>
          <w:lang w:val="fr-FR"/>
        </w:rPr>
        <w:t>le</w:t>
      </w:r>
      <w:r w:rsidR="00985B03" w:rsidRPr="005D3CD5">
        <w:rPr>
          <w:lang w:val="fr-FR"/>
        </w:rPr>
        <w:t>s</w:t>
      </w:r>
      <w:r w:rsidR="004172C8" w:rsidRPr="005D3CD5">
        <w:rPr>
          <w:lang w:val="fr-FR"/>
        </w:rPr>
        <w:t xml:space="preserve"> recours</w:t>
      </w:r>
      <w:r w:rsidR="009734BF" w:rsidRPr="005D3CD5">
        <w:rPr>
          <w:lang w:val="fr-FR"/>
        </w:rPr>
        <w:t xml:space="preserve"> susmentionnés</w:t>
      </w:r>
      <w:r w:rsidR="004172C8" w:rsidRPr="005D3CD5">
        <w:rPr>
          <w:lang w:val="fr-FR"/>
        </w:rPr>
        <w:t xml:space="preserve"> parce q</w:t>
      </w:r>
      <w:r w:rsidR="007F263F" w:rsidRPr="005D3CD5">
        <w:rPr>
          <w:lang w:val="fr-FR"/>
        </w:rPr>
        <w:t>ue les requérants ont saisi la C</w:t>
      </w:r>
      <w:r w:rsidR="004172C8" w:rsidRPr="005D3CD5">
        <w:rPr>
          <w:lang w:val="fr-FR"/>
        </w:rPr>
        <w:t xml:space="preserve">our de cassation après avoir été </w:t>
      </w:r>
      <w:r w:rsidR="00A27A17" w:rsidRPr="005D3CD5">
        <w:rPr>
          <w:lang w:val="fr-FR"/>
        </w:rPr>
        <w:t>libéré</w:t>
      </w:r>
      <w:r w:rsidR="00985B03" w:rsidRPr="005D3CD5">
        <w:rPr>
          <w:lang w:val="fr-FR"/>
        </w:rPr>
        <w:t>s</w:t>
      </w:r>
      <w:r w:rsidR="004172C8" w:rsidRPr="005D3CD5">
        <w:rPr>
          <w:lang w:val="fr-FR"/>
        </w:rPr>
        <w:t xml:space="preserve">. </w:t>
      </w:r>
      <w:r w:rsidR="008412F6" w:rsidRPr="005D3CD5">
        <w:rPr>
          <w:lang w:val="fr-FR"/>
        </w:rPr>
        <w:t>Il ajoute que, a</w:t>
      </w:r>
      <w:r w:rsidRPr="005D3CD5">
        <w:rPr>
          <w:lang w:val="fr-FR"/>
        </w:rPr>
        <w:t>u demeurant, les requérants ne se sont pas pourvus en appel contre l</w:t>
      </w:r>
      <w:r w:rsidR="008412F6" w:rsidRPr="005D3CD5">
        <w:rPr>
          <w:lang w:val="fr-FR"/>
        </w:rPr>
        <w:t>es</w:t>
      </w:r>
      <w:r w:rsidRPr="005D3CD5">
        <w:rPr>
          <w:lang w:val="fr-FR"/>
        </w:rPr>
        <w:t xml:space="preserve"> décision</w:t>
      </w:r>
      <w:r w:rsidR="008412F6" w:rsidRPr="005D3CD5">
        <w:rPr>
          <w:lang w:val="fr-FR"/>
        </w:rPr>
        <w:t>s</w:t>
      </w:r>
      <w:r w:rsidRPr="005D3CD5">
        <w:rPr>
          <w:lang w:val="fr-FR"/>
        </w:rPr>
        <w:t xml:space="preserve"> du tribunal de Rome.</w:t>
      </w:r>
    </w:p>
    <w:p w:rsidR="004172C8" w:rsidRPr="005D3CD5" w:rsidRDefault="006F726E"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39</w:t>
      </w:r>
      <w:r w:rsidRPr="005D3CD5">
        <w:rPr>
          <w:lang w:val="fr-FR"/>
        </w:rPr>
        <w:fldChar w:fldCharType="end"/>
      </w:r>
      <w:r w:rsidRPr="005D3CD5">
        <w:rPr>
          <w:lang w:val="fr-FR"/>
        </w:rPr>
        <w:t>.  </w:t>
      </w:r>
      <w:r w:rsidR="004172C8" w:rsidRPr="005D3CD5">
        <w:rPr>
          <w:lang w:val="fr-FR"/>
        </w:rPr>
        <w:t xml:space="preserve">Les requérants </w:t>
      </w:r>
      <w:r w:rsidR="001E3A44" w:rsidRPr="005D3CD5">
        <w:rPr>
          <w:lang w:val="fr-FR"/>
        </w:rPr>
        <w:t>combattent l</w:t>
      </w:r>
      <w:r w:rsidR="005D3CD5" w:rsidRPr="005D3CD5">
        <w:rPr>
          <w:lang w:val="fr-FR"/>
        </w:rPr>
        <w:t>’</w:t>
      </w:r>
      <w:r w:rsidR="001E3A44" w:rsidRPr="005D3CD5">
        <w:rPr>
          <w:lang w:val="fr-FR"/>
        </w:rPr>
        <w:t>argument du Gouvernement. Ils soutiennent</w:t>
      </w:r>
      <w:r w:rsidR="00817987" w:rsidRPr="005D3CD5">
        <w:rPr>
          <w:lang w:val="fr-FR"/>
        </w:rPr>
        <w:t>, jurisprudence à l</w:t>
      </w:r>
      <w:r w:rsidR="005D3CD5" w:rsidRPr="005D3CD5">
        <w:rPr>
          <w:lang w:val="fr-FR"/>
        </w:rPr>
        <w:t>’</w:t>
      </w:r>
      <w:r w:rsidR="00817987" w:rsidRPr="005D3CD5">
        <w:rPr>
          <w:lang w:val="fr-FR"/>
        </w:rPr>
        <w:t xml:space="preserve">appui, </w:t>
      </w:r>
      <w:r w:rsidR="00DB184E" w:rsidRPr="005D3CD5">
        <w:rPr>
          <w:lang w:val="fr-FR"/>
        </w:rPr>
        <w:t>que</w:t>
      </w:r>
      <w:r w:rsidR="001E3A44" w:rsidRPr="005D3CD5">
        <w:rPr>
          <w:lang w:val="fr-FR"/>
        </w:rPr>
        <w:t xml:space="preserve">, dans des situations </w:t>
      </w:r>
      <w:r w:rsidR="003E5864" w:rsidRPr="005D3CD5">
        <w:rPr>
          <w:lang w:val="fr-FR"/>
        </w:rPr>
        <w:t xml:space="preserve">à leurs yeux </w:t>
      </w:r>
      <w:r w:rsidR="001E3A44" w:rsidRPr="005D3CD5">
        <w:rPr>
          <w:lang w:val="fr-FR"/>
        </w:rPr>
        <w:lastRenderedPageBreak/>
        <w:t>analogues,</w:t>
      </w:r>
      <w:r w:rsidR="00DB184E" w:rsidRPr="005D3CD5">
        <w:rPr>
          <w:lang w:val="fr-FR"/>
        </w:rPr>
        <w:t xml:space="preserve"> les tribunaux internes se sont </w:t>
      </w:r>
      <w:r w:rsidR="00A27A17" w:rsidRPr="005D3CD5">
        <w:rPr>
          <w:lang w:val="fr-FR"/>
        </w:rPr>
        <w:t>prononcés</w:t>
      </w:r>
      <w:r w:rsidR="00DB184E" w:rsidRPr="005D3CD5">
        <w:rPr>
          <w:lang w:val="fr-FR"/>
        </w:rPr>
        <w:t xml:space="preserve"> </w:t>
      </w:r>
      <w:r w:rsidR="003E5864" w:rsidRPr="005D3CD5">
        <w:rPr>
          <w:lang w:val="fr-FR"/>
        </w:rPr>
        <w:t xml:space="preserve">à dix-neuf reprises </w:t>
      </w:r>
      <w:r w:rsidR="001E3A44" w:rsidRPr="005D3CD5">
        <w:rPr>
          <w:lang w:val="fr-FR"/>
        </w:rPr>
        <w:t>de manière défavorable à des plaignant</w:t>
      </w:r>
      <w:r w:rsidR="003E5864" w:rsidRPr="005D3CD5">
        <w:rPr>
          <w:lang w:val="fr-FR"/>
        </w:rPr>
        <w:t>s</w:t>
      </w:r>
      <w:r w:rsidR="00E955CD" w:rsidRPr="005D3CD5">
        <w:rPr>
          <w:lang w:val="fr-FR"/>
        </w:rPr>
        <w:t xml:space="preserve">. </w:t>
      </w:r>
      <w:r w:rsidR="001E3A44" w:rsidRPr="005D3CD5">
        <w:rPr>
          <w:lang w:val="fr-FR"/>
        </w:rPr>
        <w:t>Ils estiment qu</w:t>
      </w:r>
      <w:r w:rsidR="005D3CD5" w:rsidRPr="005D3CD5">
        <w:rPr>
          <w:lang w:val="fr-FR"/>
        </w:rPr>
        <w:t>’</w:t>
      </w:r>
      <w:r w:rsidR="001E3A44" w:rsidRPr="005D3CD5">
        <w:rPr>
          <w:lang w:val="fr-FR"/>
        </w:rPr>
        <w:t xml:space="preserve">il est ainsi établi </w:t>
      </w:r>
      <w:r w:rsidR="00E955CD" w:rsidRPr="005D3CD5">
        <w:rPr>
          <w:lang w:val="fr-FR"/>
        </w:rPr>
        <w:t>qu</w:t>
      </w:r>
      <w:r w:rsidR="005D3CD5" w:rsidRPr="005D3CD5">
        <w:rPr>
          <w:lang w:val="fr-FR"/>
        </w:rPr>
        <w:t>’</w:t>
      </w:r>
      <w:r w:rsidR="00E955CD" w:rsidRPr="005D3CD5">
        <w:rPr>
          <w:lang w:val="fr-FR"/>
        </w:rPr>
        <w:t>il n</w:t>
      </w:r>
      <w:r w:rsidR="005D3CD5" w:rsidRPr="005D3CD5">
        <w:rPr>
          <w:lang w:val="fr-FR"/>
        </w:rPr>
        <w:t>’</w:t>
      </w:r>
      <w:r w:rsidR="00E955CD" w:rsidRPr="005D3CD5">
        <w:rPr>
          <w:lang w:val="fr-FR"/>
        </w:rPr>
        <w:t xml:space="preserve">existe pas de </w:t>
      </w:r>
      <w:r w:rsidR="00A27A17" w:rsidRPr="005D3CD5">
        <w:rPr>
          <w:lang w:val="fr-FR"/>
        </w:rPr>
        <w:t>remède</w:t>
      </w:r>
      <w:r w:rsidR="00E955CD" w:rsidRPr="005D3CD5">
        <w:rPr>
          <w:lang w:val="fr-FR"/>
        </w:rPr>
        <w:t xml:space="preserve"> effectif pour se plaindre de la violation </w:t>
      </w:r>
      <w:r w:rsidR="001E3A44" w:rsidRPr="005D3CD5">
        <w:rPr>
          <w:lang w:val="fr-FR"/>
        </w:rPr>
        <w:t>dénoncée</w:t>
      </w:r>
      <w:r w:rsidR="00E955CD" w:rsidRPr="005D3CD5">
        <w:rPr>
          <w:lang w:val="fr-FR"/>
        </w:rPr>
        <w:t xml:space="preserve"> </w:t>
      </w:r>
      <w:r w:rsidR="001E3A44" w:rsidRPr="005D3CD5">
        <w:rPr>
          <w:lang w:val="fr-FR"/>
        </w:rPr>
        <w:t xml:space="preserve">par eux </w:t>
      </w:r>
      <w:r w:rsidR="00E955CD" w:rsidRPr="005D3CD5">
        <w:rPr>
          <w:lang w:val="fr-FR"/>
        </w:rPr>
        <w:t>et qu</w:t>
      </w:r>
      <w:r w:rsidR="005D3CD5" w:rsidRPr="005D3CD5">
        <w:rPr>
          <w:lang w:val="fr-FR"/>
        </w:rPr>
        <w:t>’</w:t>
      </w:r>
      <w:r w:rsidRPr="005D3CD5">
        <w:rPr>
          <w:lang w:val="fr-FR"/>
        </w:rPr>
        <w:t>ils</w:t>
      </w:r>
      <w:r w:rsidR="00E955CD" w:rsidRPr="005D3CD5">
        <w:rPr>
          <w:lang w:val="fr-FR"/>
        </w:rPr>
        <w:t xml:space="preserve"> ont </w:t>
      </w:r>
      <w:r w:rsidR="001E3A44" w:rsidRPr="005D3CD5">
        <w:rPr>
          <w:lang w:val="fr-FR"/>
        </w:rPr>
        <w:t xml:space="preserve">donc </w:t>
      </w:r>
      <w:r w:rsidR="00E955CD" w:rsidRPr="005D3CD5">
        <w:rPr>
          <w:lang w:val="fr-FR"/>
        </w:rPr>
        <w:t xml:space="preserve">épuisé les voies de recours internes. </w:t>
      </w:r>
      <w:r w:rsidR="001E3A44" w:rsidRPr="005D3CD5">
        <w:rPr>
          <w:lang w:val="fr-FR"/>
        </w:rPr>
        <w:t>Quant à l</w:t>
      </w:r>
      <w:r w:rsidR="005D3CD5" w:rsidRPr="005D3CD5">
        <w:rPr>
          <w:lang w:val="fr-FR"/>
        </w:rPr>
        <w:t>’</w:t>
      </w:r>
      <w:r w:rsidR="00E955CD" w:rsidRPr="005D3CD5">
        <w:rPr>
          <w:lang w:val="fr-FR"/>
        </w:rPr>
        <w:t>action en responsabilité</w:t>
      </w:r>
      <w:r w:rsidR="00817987" w:rsidRPr="005D3CD5">
        <w:rPr>
          <w:lang w:val="fr-FR"/>
        </w:rPr>
        <w:t xml:space="preserve"> </w:t>
      </w:r>
      <w:r w:rsidR="001E3A44" w:rsidRPr="005D3CD5">
        <w:rPr>
          <w:lang w:val="fr-FR"/>
        </w:rPr>
        <w:t xml:space="preserve">civile </w:t>
      </w:r>
      <w:r w:rsidR="00817987" w:rsidRPr="005D3CD5">
        <w:rPr>
          <w:lang w:val="fr-FR"/>
        </w:rPr>
        <w:t>des magistrats</w:t>
      </w:r>
      <w:r w:rsidR="00E955CD" w:rsidRPr="005D3CD5">
        <w:rPr>
          <w:lang w:val="fr-FR"/>
        </w:rPr>
        <w:t xml:space="preserve">, </w:t>
      </w:r>
      <w:r w:rsidR="001E3A44" w:rsidRPr="005D3CD5">
        <w:rPr>
          <w:lang w:val="fr-FR"/>
        </w:rPr>
        <w:t>ils précisent qu</w:t>
      </w:r>
      <w:r w:rsidR="005D3CD5" w:rsidRPr="005D3CD5">
        <w:rPr>
          <w:lang w:val="fr-FR"/>
        </w:rPr>
        <w:t>’</w:t>
      </w:r>
      <w:r w:rsidR="001E3A44" w:rsidRPr="005D3CD5">
        <w:rPr>
          <w:lang w:val="fr-FR"/>
        </w:rPr>
        <w:t>elle</w:t>
      </w:r>
      <w:r w:rsidR="00E955CD" w:rsidRPr="005D3CD5">
        <w:rPr>
          <w:lang w:val="fr-FR"/>
        </w:rPr>
        <w:t xml:space="preserve"> requi</w:t>
      </w:r>
      <w:r w:rsidR="001E3A44" w:rsidRPr="005D3CD5">
        <w:rPr>
          <w:lang w:val="fr-FR"/>
        </w:rPr>
        <w:t>ert</w:t>
      </w:r>
      <w:r w:rsidR="00E955CD" w:rsidRPr="005D3CD5">
        <w:rPr>
          <w:lang w:val="fr-FR"/>
        </w:rPr>
        <w:t xml:space="preserve"> </w:t>
      </w:r>
      <w:r w:rsidR="0064337D" w:rsidRPr="005D3CD5">
        <w:rPr>
          <w:lang w:val="fr-FR"/>
        </w:rPr>
        <w:t>d</w:t>
      </w:r>
      <w:r w:rsidR="005D3CD5" w:rsidRPr="005D3CD5">
        <w:rPr>
          <w:lang w:val="fr-FR"/>
        </w:rPr>
        <w:t>’</w:t>
      </w:r>
      <w:r w:rsidR="0064337D" w:rsidRPr="005D3CD5">
        <w:rPr>
          <w:lang w:val="fr-FR"/>
        </w:rPr>
        <w:t xml:space="preserve">établir </w:t>
      </w:r>
      <w:r w:rsidR="00E955CD" w:rsidRPr="005D3CD5">
        <w:rPr>
          <w:lang w:val="fr-FR"/>
        </w:rPr>
        <w:t xml:space="preserve">le dol ou la faute </w:t>
      </w:r>
      <w:r w:rsidR="00293AD5" w:rsidRPr="005D3CD5">
        <w:rPr>
          <w:lang w:val="fr-FR"/>
        </w:rPr>
        <w:t>grave</w:t>
      </w:r>
      <w:r w:rsidR="001E3A44" w:rsidRPr="005D3CD5">
        <w:rPr>
          <w:lang w:val="fr-FR"/>
        </w:rPr>
        <w:t>, lesquels seraient</w:t>
      </w:r>
      <w:r w:rsidR="00E955CD" w:rsidRPr="005D3CD5">
        <w:rPr>
          <w:lang w:val="fr-FR"/>
        </w:rPr>
        <w:t xml:space="preserve"> très difficile</w:t>
      </w:r>
      <w:r w:rsidR="00817987" w:rsidRPr="005D3CD5">
        <w:rPr>
          <w:lang w:val="fr-FR"/>
        </w:rPr>
        <w:t>s</w:t>
      </w:r>
      <w:r w:rsidR="00E955CD" w:rsidRPr="005D3CD5">
        <w:rPr>
          <w:lang w:val="fr-FR"/>
        </w:rPr>
        <w:t xml:space="preserve"> à prouver en l</w:t>
      </w:r>
      <w:r w:rsidR="005D3CD5" w:rsidRPr="005D3CD5">
        <w:rPr>
          <w:lang w:val="fr-FR"/>
        </w:rPr>
        <w:t>’</w:t>
      </w:r>
      <w:r w:rsidR="00E955CD" w:rsidRPr="005D3CD5">
        <w:rPr>
          <w:lang w:val="fr-FR"/>
        </w:rPr>
        <w:t>espèce.</w:t>
      </w:r>
    </w:p>
    <w:p w:rsidR="00776595" w:rsidRPr="005D3CD5" w:rsidRDefault="00156598"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40</w:t>
      </w:r>
      <w:r w:rsidRPr="005D3CD5">
        <w:rPr>
          <w:lang w:val="fr-FR"/>
        </w:rPr>
        <w:fldChar w:fldCharType="end"/>
      </w:r>
      <w:r w:rsidRPr="005D3CD5">
        <w:rPr>
          <w:lang w:val="fr-FR"/>
        </w:rPr>
        <w:t>.  </w:t>
      </w:r>
      <w:r w:rsidR="00B64C8D" w:rsidRPr="005D3CD5">
        <w:rPr>
          <w:lang w:val="fr-FR"/>
        </w:rPr>
        <w:t>La</w:t>
      </w:r>
      <w:r w:rsidRPr="005D3CD5">
        <w:rPr>
          <w:lang w:val="fr-FR"/>
        </w:rPr>
        <w:t xml:space="preserve"> </w:t>
      </w:r>
      <w:r w:rsidR="00776595" w:rsidRPr="005D3CD5">
        <w:rPr>
          <w:lang w:val="fr-FR"/>
        </w:rPr>
        <w:t>C</w:t>
      </w:r>
      <w:r w:rsidRPr="005D3CD5">
        <w:rPr>
          <w:lang w:val="fr-FR"/>
        </w:rPr>
        <w:t>our note que</w:t>
      </w:r>
      <w:r w:rsidR="001E3A44" w:rsidRPr="005D3CD5">
        <w:rPr>
          <w:lang w:val="fr-FR"/>
        </w:rPr>
        <w:t xml:space="preserve">, pour rejeter </w:t>
      </w:r>
      <w:r w:rsidRPr="005D3CD5">
        <w:rPr>
          <w:lang w:val="fr-FR"/>
        </w:rPr>
        <w:t>les recours des requérants</w:t>
      </w:r>
      <w:r w:rsidR="001E3A44" w:rsidRPr="005D3CD5">
        <w:rPr>
          <w:lang w:val="fr-FR"/>
        </w:rPr>
        <w:t xml:space="preserve">, </w:t>
      </w:r>
      <w:r w:rsidRPr="005D3CD5">
        <w:rPr>
          <w:lang w:val="fr-FR"/>
        </w:rPr>
        <w:t xml:space="preserve">le tribunal de Rome </w:t>
      </w:r>
      <w:r w:rsidR="00293AD5" w:rsidRPr="005D3CD5">
        <w:rPr>
          <w:lang w:val="fr-FR"/>
        </w:rPr>
        <w:t>a estimé que</w:t>
      </w:r>
      <w:r w:rsidRPr="005D3CD5">
        <w:rPr>
          <w:lang w:val="fr-FR"/>
        </w:rPr>
        <w:t xml:space="preserve"> les autorités avaient agi correctement en </w:t>
      </w:r>
      <w:r w:rsidR="00B64C8D" w:rsidRPr="005D3CD5">
        <w:rPr>
          <w:lang w:val="fr-FR"/>
        </w:rPr>
        <w:t>exécutant</w:t>
      </w:r>
      <w:r w:rsidRPr="005D3CD5">
        <w:rPr>
          <w:lang w:val="fr-FR"/>
        </w:rPr>
        <w:t xml:space="preserve"> </w:t>
      </w:r>
      <w:r w:rsidR="00B64C8D" w:rsidRPr="005D3CD5">
        <w:rPr>
          <w:lang w:val="fr-FR"/>
        </w:rPr>
        <w:t>l</w:t>
      </w:r>
      <w:r w:rsidR="00DA4F14" w:rsidRPr="005D3CD5">
        <w:rPr>
          <w:lang w:val="fr-FR"/>
        </w:rPr>
        <w:t>a</w:t>
      </w:r>
      <w:r w:rsidR="00B64C8D" w:rsidRPr="005D3CD5">
        <w:rPr>
          <w:lang w:val="fr-FR"/>
        </w:rPr>
        <w:t xml:space="preserve"> décision du juge de paix.</w:t>
      </w:r>
    </w:p>
    <w:p w:rsidR="00776595" w:rsidRPr="005D3CD5" w:rsidRDefault="00776595"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41</w:t>
      </w:r>
      <w:r w:rsidRPr="005D3CD5">
        <w:rPr>
          <w:lang w:val="fr-FR"/>
        </w:rPr>
        <w:fldChar w:fldCharType="end"/>
      </w:r>
      <w:r w:rsidRPr="005D3CD5">
        <w:rPr>
          <w:lang w:val="fr-FR"/>
        </w:rPr>
        <w:t>.  La Cour n</w:t>
      </w:r>
      <w:r w:rsidR="005D3CD5" w:rsidRPr="005D3CD5">
        <w:rPr>
          <w:lang w:val="fr-FR"/>
        </w:rPr>
        <w:t>’</w:t>
      </w:r>
      <w:r w:rsidRPr="005D3CD5">
        <w:rPr>
          <w:lang w:val="fr-FR"/>
        </w:rPr>
        <w:t>est pas convaincue par l</w:t>
      </w:r>
      <w:r w:rsidR="005D3CD5" w:rsidRPr="005D3CD5">
        <w:rPr>
          <w:lang w:val="fr-FR"/>
        </w:rPr>
        <w:t>’</w:t>
      </w:r>
      <w:r w:rsidRPr="005D3CD5">
        <w:rPr>
          <w:lang w:val="fr-FR"/>
        </w:rPr>
        <w:t>argument du Gouvernement. Elle rappelle qu</w:t>
      </w:r>
      <w:r w:rsidR="005D3CD5" w:rsidRPr="005D3CD5">
        <w:rPr>
          <w:lang w:val="fr-FR"/>
        </w:rPr>
        <w:t>’</w:t>
      </w:r>
      <w:r w:rsidRPr="005D3CD5">
        <w:rPr>
          <w:lang w:val="fr-FR"/>
        </w:rPr>
        <w:t xml:space="preserve">il incombe au </w:t>
      </w:r>
      <w:r w:rsidR="001E3A44" w:rsidRPr="005D3CD5">
        <w:rPr>
          <w:lang w:val="fr-FR"/>
        </w:rPr>
        <w:t>g</w:t>
      </w:r>
      <w:r w:rsidRPr="005D3CD5">
        <w:rPr>
          <w:lang w:val="fr-FR"/>
        </w:rPr>
        <w:t xml:space="preserve">ouvernement excipant du non-épuisement des </w:t>
      </w:r>
      <w:r w:rsidR="00293AD5" w:rsidRPr="005D3CD5">
        <w:rPr>
          <w:lang w:val="fr-FR"/>
        </w:rPr>
        <w:t xml:space="preserve">voies de </w:t>
      </w:r>
      <w:r w:rsidRPr="005D3CD5">
        <w:rPr>
          <w:lang w:val="fr-FR"/>
        </w:rPr>
        <w:t>recours internes de démontrer qu</w:t>
      </w:r>
      <w:r w:rsidR="005D3CD5" w:rsidRPr="005D3CD5">
        <w:rPr>
          <w:lang w:val="fr-FR"/>
        </w:rPr>
        <w:t>’</w:t>
      </w:r>
      <w:r w:rsidRPr="005D3CD5">
        <w:rPr>
          <w:lang w:val="fr-FR"/>
        </w:rPr>
        <w:t>un recours effectif était disponible tant en théorie qu</w:t>
      </w:r>
      <w:r w:rsidR="005D3CD5" w:rsidRPr="005D3CD5">
        <w:rPr>
          <w:lang w:val="fr-FR"/>
        </w:rPr>
        <w:t>’</w:t>
      </w:r>
      <w:r w:rsidRPr="005D3CD5">
        <w:rPr>
          <w:lang w:val="fr-FR"/>
        </w:rPr>
        <w:t>en pratique à l</w:t>
      </w:r>
      <w:r w:rsidR="005D3CD5" w:rsidRPr="005D3CD5">
        <w:rPr>
          <w:lang w:val="fr-FR"/>
        </w:rPr>
        <w:t>’</w:t>
      </w:r>
      <w:r w:rsidRPr="005D3CD5">
        <w:rPr>
          <w:lang w:val="fr-FR"/>
        </w:rPr>
        <w:t>époque des faits, c</w:t>
      </w:r>
      <w:r w:rsidR="005D3CD5" w:rsidRPr="005D3CD5">
        <w:rPr>
          <w:lang w:val="fr-FR"/>
        </w:rPr>
        <w:t>’</w:t>
      </w:r>
      <w:r w:rsidRPr="005D3CD5">
        <w:rPr>
          <w:lang w:val="fr-FR"/>
        </w:rPr>
        <w:t>est-à-dire qu</w:t>
      </w:r>
      <w:r w:rsidR="005D3CD5" w:rsidRPr="005D3CD5">
        <w:rPr>
          <w:lang w:val="fr-FR"/>
        </w:rPr>
        <w:t>’</w:t>
      </w:r>
      <w:r w:rsidRPr="005D3CD5">
        <w:rPr>
          <w:lang w:val="fr-FR"/>
        </w:rPr>
        <w:t>il était accessible, était susceptible d</w:t>
      </w:r>
      <w:r w:rsidR="005D3CD5" w:rsidRPr="005D3CD5">
        <w:rPr>
          <w:lang w:val="fr-FR"/>
        </w:rPr>
        <w:t>’</w:t>
      </w:r>
      <w:r w:rsidRPr="005D3CD5">
        <w:rPr>
          <w:lang w:val="fr-FR"/>
        </w:rPr>
        <w:t>offrir aux requérants la réparation de leurs griefs et présentait des perspectives raisonnables de succès (</w:t>
      </w:r>
      <w:r w:rsidRPr="005D3CD5">
        <w:rPr>
          <w:i/>
          <w:lang w:val="fr-FR"/>
        </w:rPr>
        <w:t>V.</w:t>
      </w:r>
      <w:r w:rsidR="001E3A44" w:rsidRPr="005D3CD5">
        <w:rPr>
          <w:i/>
          <w:lang w:val="fr-FR"/>
        </w:rPr>
        <w:t> </w:t>
      </w:r>
      <w:r w:rsidRPr="005D3CD5">
        <w:rPr>
          <w:i/>
          <w:lang w:val="fr-FR"/>
        </w:rPr>
        <w:t>c.</w:t>
      </w:r>
      <w:r w:rsidR="001E3A44" w:rsidRPr="005D3CD5">
        <w:rPr>
          <w:i/>
          <w:lang w:val="fr-FR"/>
        </w:rPr>
        <w:t> </w:t>
      </w:r>
      <w:r w:rsidRPr="005D3CD5">
        <w:rPr>
          <w:i/>
          <w:lang w:val="fr-FR"/>
        </w:rPr>
        <w:t>Royaume-Uni</w:t>
      </w:r>
      <w:r w:rsidRPr="005D3CD5">
        <w:rPr>
          <w:lang w:val="fr-FR"/>
        </w:rPr>
        <w:t xml:space="preserve"> [GC], n</w:t>
      </w:r>
      <w:r w:rsidRPr="005D3CD5">
        <w:rPr>
          <w:vertAlign w:val="superscript"/>
          <w:lang w:val="fr-FR"/>
        </w:rPr>
        <w:t>o</w:t>
      </w:r>
      <w:r w:rsidR="00B120E7" w:rsidRPr="005D3CD5">
        <w:rPr>
          <w:vertAlign w:val="superscript"/>
          <w:lang w:val="fr-FR"/>
        </w:rPr>
        <w:t xml:space="preserve"> </w:t>
      </w:r>
      <w:r w:rsidR="00B120E7" w:rsidRPr="005D3CD5">
        <w:rPr>
          <w:lang w:val="fr-FR"/>
        </w:rPr>
        <w:t>24888/94</w:t>
      </w:r>
      <w:r w:rsidRPr="005D3CD5">
        <w:rPr>
          <w:lang w:val="fr-FR"/>
        </w:rPr>
        <w:t>, § 57, CEDH 1999</w:t>
      </w:r>
      <w:r w:rsidRPr="005D3CD5">
        <w:rPr>
          <w:lang w:val="fr-FR"/>
        </w:rPr>
        <w:noBreakHyphen/>
        <w:t>IX).</w:t>
      </w:r>
    </w:p>
    <w:p w:rsidR="009F210B" w:rsidRPr="005D3CD5" w:rsidRDefault="00776595"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42</w:t>
      </w:r>
      <w:r w:rsidRPr="005D3CD5">
        <w:rPr>
          <w:lang w:val="fr-FR"/>
        </w:rPr>
        <w:fldChar w:fldCharType="end"/>
      </w:r>
      <w:r w:rsidRPr="005D3CD5">
        <w:rPr>
          <w:lang w:val="fr-FR"/>
        </w:rPr>
        <w:t>.  Or</w:t>
      </w:r>
      <w:r w:rsidR="001E3A44" w:rsidRPr="005D3CD5">
        <w:rPr>
          <w:lang w:val="fr-FR"/>
        </w:rPr>
        <w:t>,</w:t>
      </w:r>
      <w:r w:rsidRPr="005D3CD5">
        <w:rPr>
          <w:lang w:val="fr-FR"/>
        </w:rPr>
        <w:t xml:space="preserve"> dans l</w:t>
      </w:r>
      <w:r w:rsidR="001E3A44" w:rsidRPr="005D3CD5">
        <w:rPr>
          <w:lang w:val="fr-FR"/>
        </w:rPr>
        <w:t xml:space="preserve">a présente </w:t>
      </w:r>
      <w:r w:rsidRPr="005D3CD5">
        <w:rPr>
          <w:lang w:val="fr-FR"/>
        </w:rPr>
        <w:t xml:space="preserve">espèce, </w:t>
      </w:r>
      <w:r w:rsidR="001E3A44" w:rsidRPr="005D3CD5">
        <w:rPr>
          <w:lang w:val="fr-FR"/>
        </w:rPr>
        <w:t>la Cour observe</w:t>
      </w:r>
      <w:r w:rsidR="00104775" w:rsidRPr="005D3CD5">
        <w:rPr>
          <w:lang w:val="fr-FR"/>
        </w:rPr>
        <w:t>, d</w:t>
      </w:r>
      <w:r w:rsidR="005D3CD5" w:rsidRPr="005D3CD5">
        <w:rPr>
          <w:lang w:val="fr-FR"/>
        </w:rPr>
        <w:t>’</w:t>
      </w:r>
      <w:r w:rsidR="00104775" w:rsidRPr="005D3CD5">
        <w:rPr>
          <w:lang w:val="fr-FR"/>
        </w:rPr>
        <w:t>une part,</w:t>
      </w:r>
      <w:r w:rsidR="001E3A44" w:rsidRPr="005D3CD5">
        <w:rPr>
          <w:lang w:val="fr-FR"/>
        </w:rPr>
        <w:t xml:space="preserve"> que </w:t>
      </w:r>
      <w:r w:rsidRPr="005D3CD5">
        <w:rPr>
          <w:lang w:val="fr-FR"/>
        </w:rPr>
        <w:t xml:space="preserve">les requérants se sont référés à </w:t>
      </w:r>
      <w:r w:rsidR="001A6F85" w:rsidRPr="005D3CD5">
        <w:rPr>
          <w:lang w:val="fr-FR"/>
        </w:rPr>
        <w:t>plusieurs</w:t>
      </w:r>
      <w:r w:rsidRPr="005D3CD5">
        <w:rPr>
          <w:lang w:val="fr-FR"/>
        </w:rPr>
        <w:t xml:space="preserve"> jugement</w:t>
      </w:r>
      <w:r w:rsidR="00617C9F" w:rsidRPr="005D3CD5">
        <w:rPr>
          <w:lang w:val="fr-FR"/>
        </w:rPr>
        <w:t>s</w:t>
      </w:r>
      <w:r w:rsidRPr="005D3CD5">
        <w:rPr>
          <w:lang w:val="fr-FR"/>
        </w:rPr>
        <w:t xml:space="preserve"> </w:t>
      </w:r>
      <w:r w:rsidR="006F726E" w:rsidRPr="005D3CD5">
        <w:rPr>
          <w:lang w:val="fr-FR"/>
        </w:rPr>
        <w:t>du tribunal de Rome</w:t>
      </w:r>
      <w:r w:rsidRPr="005D3CD5">
        <w:rPr>
          <w:lang w:val="fr-FR"/>
        </w:rPr>
        <w:t xml:space="preserve"> </w:t>
      </w:r>
      <w:r w:rsidR="00617C9F" w:rsidRPr="005D3CD5">
        <w:rPr>
          <w:lang w:val="fr-FR"/>
        </w:rPr>
        <w:t>portant</w:t>
      </w:r>
      <w:r w:rsidRPr="005D3CD5">
        <w:rPr>
          <w:lang w:val="fr-FR"/>
        </w:rPr>
        <w:t xml:space="preserve"> rejet de </w:t>
      </w:r>
      <w:r w:rsidR="001A6F85" w:rsidRPr="005D3CD5">
        <w:rPr>
          <w:lang w:val="fr-FR"/>
        </w:rPr>
        <w:t>griefs</w:t>
      </w:r>
      <w:r w:rsidRPr="005D3CD5">
        <w:rPr>
          <w:lang w:val="fr-FR"/>
        </w:rPr>
        <w:t xml:space="preserve"> similaire</w:t>
      </w:r>
      <w:r w:rsidR="001A6F85" w:rsidRPr="005D3CD5">
        <w:rPr>
          <w:lang w:val="fr-FR"/>
        </w:rPr>
        <w:t>s</w:t>
      </w:r>
      <w:r w:rsidRPr="005D3CD5">
        <w:rPr>
          <w:lang w:val="fr-FR"/>
        </w:rPr>
        <w:t xml:space="preserve"> et</w:t>
      </w:r>
      <w:r w:rsidR="00104775" w:rsidRPr="005D3CD5">
        <w:rPr>
          <w:lang w:val="fr-FR"/>
        </w:rPr>
        <w:t>, d</w:t>
      </w:r>
      <w:r w:rsidR="005D3CD5" w:rsidRPr="005D3CD5">
        <w:rPr>
          <w:lang w:val="fr-FR"/>
        </w:rPr>
        <w:t>’</w:t>
      </w:r>
      <w:r w:rsidR="00104775" w:rsidRPr="005D3CD5">
        <w:rPr>
          <w:lang w:val="fr-FR"/>
        </w:rPr>
        <w:t>autre part,</w:t>
      </w:r>
      <w:r w:rsidRPr="005D3CD5">
        <w:rPr>
          <w:lang w:val="fr-FR"/>
        </w:rPr>
        <w:t xml:space="preserve"> </w:t>
      </w:r>
      <w:r w:rsidR="00617C9F" w:rsidRPr="005D3CD5">
        <w:rPr>
          <w:lang w:val="fr-FR"/>
        </w:rPr>
        <w:t xml:space="preserve">que </w:t>
      </w:r>
      <w:r w:rsidRPr="005D3CD5">
        <w:rPr>
          <w:lang w:val="fr-FR"/>
        </w:rPr>
        <w:t xml:space="preserve">le Gouvernement a </w:t>
      </w:r>
      <w:r w:rsidR="001A6F85" w:rsidRPr="005D3CD5">
        <w:rPr>
          <w:lang w:val="fr-FR"/>
        </w:rPr>
        <w:t>produit</w:t>
      </w:r>
      <w:r w:rsidRPr="005D3CD5">
        <w:rPr>
          <w:lang w:val="fr-FR"/>
        </w:rPr>
        <w:t xml:space="preserve"> une </w:t>
      </w:r>
      <w:r w:rsidR="001A6F85" w:rsidRPr="005D3CD5">
        <w:rPr>
          <w:lang w:val="fr-FR"/>
        </w:rPr>
        <w:t>seule</w:t>
      </w:r>
      <w:r w:rsidRPr="005D3CD5">
        <w:rPr>
          <w:lang w:val="fr-FR"/>
        </w:rPr>
        <w:t xml:space="preserve"> décision d</w:t>
      </w:r>
      <w:r w:rsidR="00617C9F" w:rsidRPr="005D3CD5">
        <w:rPr>
          <w:lang w:val="fr-FR"/>
        </w:rPr>
        <w:t>e ce</w:t>
      </w:r>
      <w:r w:rsidRPr="005D3CD5">
        <w:rPr>
          <w:lang w:val="fr-FR"/>
        </w:rPr>
        <w:t xml:space="preserve"> tribunal </w:t>
      </w:r>
      <w:r w:rsidR="00011D06" w:rsidRPr="005D3CD5">
        <w:rPr>
          <w:lang w:val="fr-FR"/>
        </w:rPr>
        <w:t>ayant</w:t>
      </w:r>
      <w:r w:rsidRPr="005D3CD5">
        <w:rPr>
          <w:lang w:val="fr-FR"/>
        </w:rPr>
        <w:t xml:space="preserve"> accueilli le recours</w:t>
      </w:r>
      <w:r w:rsidR="00985B03" w:rsidRPr="005D3CD5">
        <w:rPr>
          <w:lang w:val="fr-FR"/>
        </w:rPr>
        <w:t xml:space="preserve"> d</w:t>
      </w:r>
      <w:r w:rsidR="005D3CD5" w:rsidRPr="005D3CD5">
        <w:rPr>
          <w:lang w:val="fr-FR"/>
        </w:rPr>
        <w:t>’</w:t>
      </w:r>
      <w:r w:rsidR="00985B03" w:rsidRPr="005D3CD5">
        <w:rPr>
          <w:lang w:val="fr-FR"/>
        </w:rPr>
        <w:t xml:space="preserve">un ressortissant étranger qui se trouvait dans une situation </w:t>
      </w:r>
      <w:r w:rsidR="00011D06" w:rsidRPr="005D3CD5">
        <w:rPr>
          <w:lang w:val="fr-FR"/>
        </w:rPr>
        <w:t>analogue</w:t>
      </w:r>
      <w:r w:rsidR="00985B03" w:rsidRPr="005D3CD5">
        <w:rPr>
          <w:lang w:val="fr-FR"/>
        </w:rPr>
        <w:t>.</w:t>
      </w:r>
      <w:r w:rsidR="006F726E" w:rsidRPr="005D3CD5">
        <w:rPr>
          <w:lang w:val="fr-FR"/>
        </w:rPr>
        <w:t xml:space="preserve"> </w:t>
      </w:r>
      <w:r w:rsidR="00664C6A" w:rsidRPr="005D3CD5">
        <w:rPr>
          <w:lang w:val="fr-FR"/>
        </w:rPr>
        <w:t>L</w:t>
      </w:r>
      <w:r w:rsidR="005D3CD5" w:rsidRPr="005D3CD5">
        <w:rPr>
          <w:lang w:val="fr-FR"/>
        </w:rPr>
        <w:t>’</w:t>
      </w:r>
      <w:r w:rsidR="00664C6A" w:rsidRPr="005D3CD5">
        <w:rPr>
          <w:lang w:val="fr-FR"/>
        </w:rPr>
        <w:t>efficacité d</w:t>
      </w:r>
      <w:r w:rsidR="005D3CD5" w:rsidRPr="005D3CD5">
        <w:rPr>
          <w:lang w:val="fr-FR"/>
        </w:rPr>
        <w:t>’</w:t>
      </w:r>
      <w:r w:rsidR="00664C6A" w:rsidRPr="005D3CD5">
        <w:rPr>
          <w:lang w:val="fr-FR"/>
        </w:rPr>
        <w:t>un appel contre les décisions litigieuses du tribunal de Rome semble ainsi pour le moins incertaine.</w:t>
      </w:r>
    </w:p>
    <w:p w:rsidR="009F210B" w:rsidRPr="005D3CD5" w:rsidRDefault="006F726E"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43</w:t>
      </w:r>
      <w:r w:rsidRPr="005D3CD5">
        <w:rPr>
          <w:lang w:val="fr-FR"/>
        </w:rPr>
        <w:fldChar w:fldCharType="end"/>
      </w:r>
      <w:r w:rsidRPr="005D3CD5">
        <w:rPr>
          <w:lang w:val="fr-FR"/>
        </w:rPr>
        <w:t>.  </w:t>
      </w:r>
      <w:r w:rsidR="00293AD5" w:rsidRPr="005D3CD5">
        <w:rPr>
          <w:lang w:val="fr-FR"/>
        </w:rPr>
        <w:t xml:space="preserve">En </w:t>
      </w:r>
      <w:r w:rsidR="00664C6A" w:rsidRPr="005D3CD5">
        <w:rPr>
          <w:lang w:val="fr-FR"/>
        </w:rPr>
        <w:t>tout état de cause</w:t>
      </w:r>
      <w:r w:rsidR="00100788" w:rsidRPr="005D3CD5">
        <w:rPr>
          <w:lang w:val="fr-FR"/>
        </w:rPr>
        <w:t>, la Cour réaffirme sa jurisprudence</w:t>
      </w:r>
      <w:r w:rsidR="00011D06" w:rsidRPr="005D3CD5">
        <w:rPr>
          <w:lang w:val="fr-FR"/>
        </w:rPr>
        <w:t xml:space="preserve"> selon laquelle, </w:t>
      </w:r>
      <w:r w:rsidR="00100788" w:rsidRPr="005D3CD5">
        <w:rPr>
          <w:lang w:val="fr-FR"/>
        </w:rPr>
        <w:t>«</w:t>
      </w:r>
      <w:r w:rsidR="00011D06" w:rsidRPr="005D3CD5">
        <w:rPr>
          <w:lang w:val="fr-FR"/>
        </w:rPr>
        <w:t> </w:t>
      </w:r>
      <w:r w:rsidR="00100788" w:rsidRPr="005D3CD5">
        <w:rPr>
          <w:lang w:val="fr-FR"/>
        </w:rPr>
        <w:t>lorsqu</w:t>
      </w:r>
      <w:r w:rsidR="005D3CD5" w:rsidRPr="005D3CD5">
        <w:rPr>
          <w:lang w:val="fr-FR"/>
        </w:rPr>
        <w:t>’</w:t>
      </w:r>
      <w:r w:rsidR="00100788" w:rsidRPr="005D3CD5">
        <w:rPr>
          <w:lang w:val="fr-FR"/>
        </w:rPr>
        <w:t>est en jeu la légalité de la détention</w:t>
      </w:r>
      <w:r w:rsidR="00011D06" w:rsidRPr="005D3CD5">
        <w:rPr>
          <w:lang w:val="fr-FR"/>
        </w:rPr>
        <w:t> »,</w:t>
      </w:r>
      <w:r w:rsidR="00100788" w:rsidRPr="005D3CD5">
        <w:rPr>
          <w:lang w:val="fr-FR"/>
        </w:rPr>
        <w:t xml:space="preserve"> une action en indemnisation dirigée contre l</w:t>
      </w:r>
      <w:r w:rsidR="005D3CD5" w:rsidRPr="005D3CD5">
        <w:rPr>
          <w:lang w:val="fr-FR"/>
        </w:rPr>
        <w:t>’</w:t>
      </w:r>
      <w:r w:rsidR="00100788" w:rsidRPr="005D3CD5">
        <w:rPr>
          <w:lang w:val="fr-FR"/>
        </w:rPr>
        <w:t xml:space="preserve">État ne constitue pas un recours à </w:t>
      </w:r>
      <w:r w:rsidR="00011D06" w:rsidRPr="005D3CD5">
        <w:rPr>
          <w:lang w:val="fr-FR"/>
        </w:rPr>
        <w:t>exercer</w:t>
      </w:r>
      <w:r w:rsidR="00100788" w:rsidRPr="005D3CD5">
        <w:rPr>
          <w:lang w:val="fr-FR"/>
        </w:rPr>
        <w:t xml:space="preserve"> </w:t>
      </w:r>
      <w:r w:rsidR="002832E1" w:rsidRPr="005D3CD5">
        <w:rPr>
          <w:lang w:val="fr-FR"/>
        </w:rPr>
        <w:t>étant donné « </w:t>
      </w:r>
      <w:r w:rsidR="00100788" w:rsidRPr="005D3CD5">
        <w:rPr>
          <w:lang w:val="fr-FR"/>
        </w:rPr>
        <w:t>que le droit de faire examiner par un tribunal la légalité de la détention et celui d</w:t>
      </w:r>
      <w:r w:rsidR="005D3CD5" w:rsidRPr="005D3CD5">
        <w:rPr>
          <w:lang w:val="fr-FR"/>
        </w:rPr>
        <w:t>’</w:t>
      </w:r>
      <w:r w:rsidR="00100788" w:rsidRPr="005D3CD5">
        <w:rPr>
          <w:lang w:val="fr-FR"/>
        </w:rPr>
        <w:t>obtenir réparation d</w:t>
      </w:r>
      <w:r w:rsidR="005D3CD5" w:rsidRPr="005D3CD5">
        <w:rPr>
          <w:lang w:val="fr-FR"/>
        </w:rPr>
        <w:t>’</w:t>
      </w:r>
      <w:r w:rsidR="00100788" w:rsidRPr="005D3CD5">
        <w:rPr>
          <w:lang w:val="fr-FR"/>
        </w:rPr>
        <w:t>une privation de liberté contraire à l</w:t>
      </w:r>
      <w:r w:rsidR="005D3CD5" w:rsidRPr="005D3CD5">
        <w:rPr>
          <w:lang w:val="fr-FR"/>
        </w:rPr>
        <w:t>’</w:t>
      </w:r>
      <w:r w:rsidR="00100788" w:rsidRPr="005D3CD5">
        <w:rPr>
          <w:lang w:val="fr-FR"/>
        </w:rPr>
        <w:t>articl</w:t>
      </w:r>
      <w:r w:rsidR="00E27B2A" w:rsidRPr="005D3CD5">
        <w:rPr>
          <w:lang w:val="fr-FR"/>
        </w:rPr>
        <w:t>e 5 sont deux droits distincts</w:t>
      </w:r>
      <w:r w:rsidRPr="005D3CD5">
        <w:rPr>
          <w:lang w:val="fr-FR"/>
        </w:rPr>
        <w:t xml:space="preserve"> </w:t>
      </w:r>
      <w:r w:rsidR="00100788" w:rsidRPr="005D3CD5">
        <w:rPr>
          <w:lang w:val="fr-FR"/>
        </w:rPr>
        <w:t>»</w:t>
      </w:r>
      <w:r w:rsidR="00011D06" w:rsidRPr="005D3CD5">
        <w:rPr>
          <w:lang w:val="fr-FR"/>
        </w:rPr>
        <w:t xml:space="preserve"> (</w:t>
      </w:r>
      <w:r w:rsidR="00011D06" w:rsidRPr="005D3CD5">
        <w:rPr>
          <w:i/>
          <w:lang w:val="fr-FR"/>
        </w:rPr>
        <w:t>Delijorgji c. Albanie</w:t>
      </w:r>
      <w:r w:rsidR="00011D06" w:rsidRPr="005D3CD5">
        <w:rPr>
          <w:lang w:val="fr-FR"/>
        </w:rPr>
        <w:t>, n</w:t>
      </w:r>
      <w:r w:rsidR="00011D06" w:rsidRPr="005D3CD5">
        <w:rPr>
          <w:vertAlign w:val="superscript"/>
          <w:lang w:val="fr-FR"/>
        </w:rPr>
        <w:t>o</w:t>
      </w:r>
      <w:r w:rsidR="00011D06" w:rsidRPr="005D3CD5">
        <w:rPr>
          <w:lang w:val="fr-FR"/>
        </w:rPr>
        <w:t xml:space="preserve"> </w:t>
      </w:r>
      <w:r w:rsidR="00B120E7" w:rsidRPr="005D3CD5">
        <w:rPr>
          <w:lang w:val="fr-FR"/>
        </w:rPr>
        <w:t>6858/11</w:t>
      </w:r>
      <w:r w:rsidR="00011D06" w:rsidRPr="005D3CD5">
        <w:rPr>
          <w:lang w:val="fr-FR"/>
        </w:rPr>
        <w:t>, §</w:t>
      </w:r>
      <w:r w:rsidR="00CC6155" w:rsidRPr="005D3CD5">
        <w:rPr>
          <w:lang w:val="fr-FR"/>
        </w:rPr>
        <w:t> </w:t>
      </w:r>
      <w:r w:rsidR="00011D06" w:rsidRPr="005D3CD5">
        <w:rPr>
          <w:lang w:val="fr-FR"/>
        </w:rPr>
        <w:t xml:space="preserve">61, 28 avril 2015, </w:t>
      </w:r>
      <w:r w:rsidR="00011D06" w:rsidRPr="005D3CD5">
        <w:rPr>
          <w:i/>
          <w:lang w:val="fr-FR"/>
        </w:rPr>
        <w:t>Ulisei Grosu c. Roumanie,</w:t>
      </w:r>
      <w:r w:rsidR="00011D06" w:rsidRPr="005D3CD5">
        <w:rPr>
          <w:lang w:val="fr-FR"/>
        </w:rPr>
        <w:t xml:space="preserve"> n</w:t>
      </w:r>
      <w:r w:rsidR="00011D06" w:rsidRPr="005D3CD5">
        <w:rPr>
          <w:vertAlign w:val="superscript"/>
          <w:lang w:val="fr-FR"/>
        </w:rPr>
        <w:t>o</w:t>
      </w:r>
      <w:r w:rsidR="00011D06" w:rsidRPr="005D3CD5">
        <w:rPr>
          <w:lang w:val="fr-FR"/>
        </w:rPr>
        <w:t xml:space="preserve"> 60113/12, § 39, 22 mars 2016, et</w:t>
      </w:r>
      <w:r w:rsidR="00011D06" w:rsidRPr="005D3CD5">
        <w:rPr>
          <w:i/>
          <w:lang w:val="fr-FR"/>
        </w:rPr>
        <w:t xml:space="preserve"> Włoch c. Pologne</w:t>
      </w:r>
      <w:r w:rsidR="00011D06" w:rsidRPr="005D3CD5">
        <w:rPr>
          <w:lang w:val="fr-FR"/>
        </w:rPr>
        <w:t>, n</w:t>
      </w:r>
      <w:r w:rsidR="00011D06" w:rsidRPr="005D3CD5">
        <w:rPr>
          <w:vertAlign w:val="superscript"/>
          <w:lang w:val="fr-FR"/>
        </w:rPr>
        <w:t>o </w:t>
      </w:r>
      <w:r w:rsidR="00B120E7" w:rsidRPr="005D3CD5">
        <w:rPr>
          <w:lang w:val="fr-FR"/>
        </w:rPr>
        <w:t>27758/95</w:t>
      </w:r>
      <w:r w:rsidR="00011D06" w:rsidRPr="005D3CD5">
        <w:rPr>
          <w:lang w:val="fr-FR"/>
        </w:rPr>
        <w:t>, § 90, CEDH 2000-XI)</w:t>
      </w:r>
      <w:r w:rsidR="00100788" w:rsidRPr="005D3CD5">
        <w:rPr>
          <w:lang w:val="fr-FR"/>
        </w:rPr>
        <w:t>.</w:t>
      </w:r>
    </w:p>
    <w:p w:rsidR="00100788" w:rsidRPr="005D3CD5" w:rsidRDefault="006F726E"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44</w:t>
      </w:r>
      <w:r w:rsidRPr="005D3CD5">
        <w:rPr>
          <w:lang w:val="fr-FR"/>
        </w:rPr>
        <w:fldChar w:fldCharType="end"/>
      </w:r>
      <w:r w:rsidRPr="005D3CD5">
        <w:rPr>
          <w:lang w:val="fr-FR"/>
        </w:rPr>
        <w:t>.  </w:t>
      </w:r>
      <w:r w:rsidR="00664C6A" w:rsidRPr="005D3CD5">
        <w:rPr>
          <w:lang w:val="fr-FR"/>
        </w:rPr>
        <w:t>S</w:t>
      </w:r>
      <w:r w:rsidR="005D3CD5" w:rsidRPr="005D3CD5">
        <w:rPr>
          <w:lang w:val="fr-FR"/>
        </w:rPr>
        <w:t>’</w:t>
      </w:r>
      <w:r w:rsidR="00664C6A" w:rsidRPr="005D3CD5">
        <w:rPr>
          <w:lang w:val="fr-FR"/>
        </w:rPr>
        <w:t>agissant enfin de l</w:t>
      </w:r>
      <w:r w:rsidR="005D3CD5" w:rsidRPr="005D3CD5">
        <w:rPr>
          <w:lang w:val="fr-FR"/>
        </w:rPr>
        <w:t>’</w:t>
      </w:r>
      <w:r w:rsidR="00664C6A" w:rsidRPr="005D3CD5">
        <w:rPr>
          <w:lang w:val="fr-FR"/>
        </w:rPr>
        <w:t xml:space="preserve">argument du </w:t>
      </w:r>
      <w:r w:rsidR="007F263F" w:rsidRPr="005D3CD5">
        <w:rPr>
          <w:lang w:val="fr-FR"/>
        </w:rPr>
        <w:t>Gouvernement</w:t>
      </w:r>
      <w:r w:rsidR="002A0BA6" w:rsidRPr="005D3CD5">
        <w:rPr>
          <w:lang w:val="fr-FR"/>
        </w:rPr>
        <w:t xml:space="preserve"> </w:t>
      </w:r>
      <w:r w:rsidR="00664C6A" w:rsidRPr="005D3CD5">
        <w:rPr>
          <w:lang w:val="fr-FR"/>
        </w:rPr>
        <w:t xml:space="preserve">selon lequel </w:t>
      </w:r>
      <w:r w:rsidR="007F263F" w:rsidRPr="005D3CD5">
        <w:rPr>
          <w:lang w:val="fr-FR"/>
        </w:rPr>
        <w:t>les</w:t>
      </w:r>
      <w:r w:rsidR="00D36DF8" w:rsidRPr="005D3CD5">
        <w:rPr>
          <w:lang w:val="fr-FR"/>
        </w:rPr>
        <w:t xml:space="preserve"> requérant</w:t>
      </w:r>
      <w:r w:rsidR="007F263F" w:rsidRPr="005D3CD5">
        <w:rPr>
          <w:lang w:val="fr-FR"/>
        </w:rPr>
        <w:t>s</w:t>
      </w:r>
      <w:r w:rsidR="00D36DF8" w:rsidRPr="005D3CD5">
        <w:rPr>
          <w:lang w:val="fr-FR"/>
        </w:rPr>
        <w:t xml:space="preserve"> </w:t>
      </w:r>
      <w:r w:rsidR="00664C6A" w:rsidRPr="005D3CD5">
        <w:rPr>
          <w:lang w:val="fr-FR"/>
        </w:rPr>
        <w:t xml:space="preserve">auraient </w:t>
      </w:r>
      <w:r w:rsidR="00D36DF8" w:rsidRPr="005D3CD5">
        <w:rPr>
          <w:lang w:val="fr-FR"/>
        </w:rPr>
        <w:t xml:space="preserve">à tort omis de se prévaloir du recours en responsabilité civile des magistrats prévu par la loi </w:t>
      </w:r>
      <w:r w:rsidR="00062E3B" w:rsidRPr="005D3CD5">
        <w:rPr>
          <w:lang w:val="fr-FR"/>
        </w:rPr>
        <w:t>n</w:t>
      </w:r>
      <w:r w:rsidR="00062E3B" w:rsidRPr="005D3CD5">
        <w:rPr>
          <w:vertAlign w:val="superscript"/>
          <w:lang w:val="fr-FR"/>
        </w:rPr>
        <w:t>o </w:t>
      </w:r>
      <w:r w:rsidR="00D36DF8" w:rsidRPr="005D3CD5">
        <w:rPr>
          <w:lang w:val="fr-FR"/>
        </w:rPr>
        <w:t>117</w:t>
      </w:r>
      <w:r w:rsidR="002A0BA6" w:rsidRPr="005D3CD5">
        <w:rPr>
          <w:lang w:val="fr-FR"/>
        </w:rPr>
        <w:t>/</w:t>
      </w:r>
      <w:r w:rsidR="00D36DF8" w:rsidRPr="005D3CD5">
        <w:rPr>
          <w:lang w:val="fr-FR"/>
        </w:rPr>
        <w:t>88</w:t>
      </w:r>
      <w:r w:rsidR="00664C6A" w:rsidRPr="005D3CD5">
        <w:rPr>
          <w:lang w:val="fr-FR"/>
        </w:rPr>
        <w:t>,</w:t>
      </w:r>
      <w:r w:rsidR="007F263F" w:rsidRPr="005D3CD5">
        <w:rPr>
          <w:lang w:val="fr-FR"/>
        </w:rPr>
        <w:t xml:space="preserve"> </w:t>
      </w:r>
      <w:r w:rsidR="00664C6A" w:rsidRPr="005D3CD5">
        <w:rPr>
          <w:lang w:val="fr-FR"/>
        </w:rPr>
        <w:t xml:space="preserve">la Cour </w:t>
      </w:r>
      <w:r w:rsidR="00100788" w:rsidRPr="005D3CD5">
        <w:rPr>
          <w:lang w:val="fr-FR"/>
        </w:rPr>
        <w:t xml:space="preserve">observe que </w:t>
      </w:r>
      <w:r w:rsidR="0010049E" w:rsidRPr="005D3CD5">
        <w:rPr>
          <w:lang w:val="fr-FR"/>
        </w:rPr>
        <w:t xml:space="preserve">cette action </w:t>
      </w:r>
      <w:r w:rsidR="001B6771" w:rsidRPr="005D3CD5">
        <w:rPr>
          <w:lang w:val="fr-FR"/>
        </w:rPr>
        <w:t>présuppose l</w:t>
      </w:r>
      <w:r w:rsidR="005D3CD5" w:rsidRPr="005D3CD5">
        <w:rPr>
          <w:lang w:val="fr-FR"/>
        </w:rPr>
        <w:t>’</w:t>
      </w:r>
      <w:r w:rsidR="001B6771" w:rsidRPr="005D3CD5">
        <w:rPr>
          <w:lang w:val="fr-FR"/>
        </w:rPr>
        <w:t>existence d</w:t>
      </w:r>
      <w:r w:rsidR="005D3CD5" w:rsidRPr="005D3CD5">
        <w:rPr>
          <w:lang w:val="fr-FR"/>
        </w:rPr>
        <w:t>’</w:t>
      </w:r>
      <w:r w:rsidR="0010049E" w:rsidRPr="005D3CD5">
        <w:rPr>
          <w:lang w:val="fr-FR"/>
        </w:rPr>
        <w:t>un comportement à tout le moins coupable de la part des magistrats</w:t>
      </w:r>
      <w:r w:rsidR="001B6771" w:rsidRPr="005D3CD5">
        <w:rPr>
          <w:lang w:val="fr-FR"/>
        </w:rPr>
        <w:t xml:space="preserve"> et que, par conséquent,</w:t>
      </w:r>
      <w:r w:rsidR="0010049E" w:rsidRPr="005D3CD5">
        <w:rPr>
          <w:lang w:val="fr-FR"/>
        </w:rPr>
        <w:t xml:space="preserve"> </w:t>
      </w:r>
      <w:r w:rsidR="00100788" w:rsidRPr="005D3CD5">
        <w:rPr>
          <w:lang w:val="fr-FR"/>
        </w:rPr>
        <w:t>le</w:t>
      </w:r>
      <w:r w:rsidR="007F263F" w:rsidRPr="005D3CD5">
        <w:rPr>
          <w:lang w:val="fr-FR"/>
        </w:rPr>
        <w:t>s</w:t>
      </w:r>
      <w:r w:rsidR="00100788" w:rsidRPr="005D3CD5">
        <w:rPr>
          <w:lang w:val="fr-FR"/>
        </w:rPr>
        <w:t xml:space="preserve"> requérant</w:t>
      </w:r>
      <w:r w:rsidR="007F263F" w:rsidRPr="005D3CD5">
        <w:rPr>
          <w:lang w:val="fr-FR"/>
        </w:rPr>
        <w:t>s</w:t>
      </w:r>
      <w:r w:rsidR="00100788" w:rsidRPr="005D3CD5">
        <w:rPr>
          <w:lang w:val="fr-FR"/>
        </w:rPr>
        <w:t xml:space="preserve"> aurai</w:t>
      </w:r>
      <w:r w:rsidR="007F263F" w:rsidRPr="005D3CD5">
        <w:rPr>
          <w:lang w:val="fr-FR"/>
        </w:rPr>
        <w:t>en</w:t>
      </w:r>
      <w:r w:rsidR="00100788" w:rsidRPr="005D3CD5">
        <w:rPr>
          <w:lang w:val="fr-FR"/>
        </w:rPr>
        <w:t>t dû prouver le dol ou la faute lourde d</w:t>
      </w:r>
      <w:r w:rsidR="00FD0D14" w:rsidRPr="005D3CD5">
        <w:rPr>
          <w:lang w:val="fr-FR"/>
        </w:rPr>
        <w:t>es juges ayant statué dans leur affaire</w:t>
      </w:r>
      <w:r w:rsidR="00100788" w:rsidRPr="005D3CD5">
        <w:rPr>
          <w:lang w:val="fr-FR"/>
        </w:rPr>
        <w:t xml:space="preserve"> (voir l</w:t>
      </w:r>
      <w:r w:rsidR="005D3CD5" w:rsidRPr="005D3CD5">
        <w:rPr>
          <w:lang w:val="fr-FR"/>
        </w:rPr>
        <w:t>’</w:t>
      </w:r>
      <w:r w:rsidR="00100788" w:rsidRPr="005D3CD5">
        <w:rPr>
          <w:lang w:val="fr-FR"/>
        </w:rPr>
        <w:t>article 2 § 3 d) de la loi n</w:t>
      </w:r>
      <w:r w:rsidR="00100788" w:rsidRPr="005D3CD5">
        <w:rPr>
          <w:vertAlign w:val="superscript"/>
          <w:lang w:val="fr-FR"/>
        </w:rPr>
        <w:t>o</w:t>
      </w:r>
      <w:r w:rsidR="00100788" w:rsidRPr="005D3CD5">
        <w:rPr>
          <w:lang w:val="fr-FR"/>
        </w:rPr>
        <w:t xml:space="preserve"> 117</w:t>
      </w:r>
      <w:r w:rsidR="002A0BA6" w:rsidRPr="005D3CD5">
        <w:rPr>
          <w:lang w:val="fr-FR"/>
        </w:rPr>
        <w:t>/</w:t>
      </w:r>
      <w:r w:rsidR="00100788" w:rsidRPr="005D3CD5">
        <w:rPr>
          <w:lang w:val="fr-FR"/>
        </w:rPr>
        <w:t xml:space="preserve">88, paragraphe </w:t>
      </w:r>
      <w:r w:rsidR="007E61D4" w:rsidRPr="005D3CD5">
        <w:rPr>
          <w:rFonts w:eastAsia="Times New Roman"/>
          <w:noProof/>
          <w:lang w:val="fr-FR"/>
        </w:rPr>
        <w:t>28</w:t>
      </w:r>
      <w:r w:rsidR="00293AD5" w:rsidRPr="005D3CD5">
        <w:rPr>
          <w:lang w:val="fr-FR"/>
        </w:rPr>
        <w:t xml:space="preserve"> </w:t>
      </w:r>
      <w:r w:rsidR="00100788" w:rsidRPr="005D3CD5">
        <w:rPr>
          <w:lang w:val="fr-FR"/>
        </w:rPr>
        <w:t>ci-dessus).</w:t>
      </w:r>
      <w:r w:rsidRPr="005D3CD5">
        <w:rPr>
          <w:lang w:val="fr-FR"/>
        </w:rPr>
        <w:t xml:space="preserve"> </w:t>
      </w:r>
      <w:r w:rsidR="00100788" w:rsidRPr="005D3CD5">
        <w:rPr>
          <w:lang w:val="fr-FR"/>
        </w:rPr>
        <w:t>De plus</w:t>
      </w:r>
      <w:r w:rsidR="001B6771" w:rsidRPr="005D3CD5">
        <w:rPr>
          <w:lang w:val="fr-FR"/>
        </w:rPr>
        <w:t xml:space="preserve">, elle note que </w:t>
      </w:r>
      <w:r w:rsidR="00100788" w:rsidRPr="005D3CD5">
        <w:rPr>
          <w:lang w:val="fr-FR"/>
        </w:rPr>
        <w:t>le Gouvernement n</w:t>
      </w:r>
      <w:r w:rsidR="005D3CD5" w:rsidRPr="005D3CD5">
        <w:rPr>
          <w:lang w:val="fr-FR"/>
        </w:rPr>
        <w:t>’</w:t>
      </w:r>
      <w:r w:rsidR="00100788" w:rsidRPr="005D3CD5">
        <w:rPr>
          <w:lang w:val="fr-FR"/>
        </w:rPr>
        <w:t>a produit aucun exemple démontrant qu</w:t>
      </w:r>
      <w:r w:rsidR="005D3CD5" w:rsidRPr="005D3CD5">
        <w:rPr>
          <w:lang w:val="fr-FR"/>
        </w:rPr>
        <w:t>’</w:t>
      </w:r>
      <w:r w:rsidR="00100788" w:rsidRPr="005D3CD5">
        <w:rPr>
          <w:lang w:val="fr-FR"/>
        </w:rPr>
        <w:t xml:space="preserve">une telle action a été </w:t>
      </w:r>
      <w:r w:rsidR="001B6771" w:rsidRPr="005D3CD5">
        <w:rPr>
          <w:lang w:val="fr-FR"/>
        </w:rPr>
        <w:t>in</w:t>
      </w:r>
      <w:r w:rsidR="00100788" w:rsidRPr="005D3CD5">
        <w:rPr>
          <w:lang w:val="fr-FR"/>
        </w:rPr>
        <w:t>tentée avec succès dans des circonstances similaires à celles de l</w:t>
      </w:r>
      <w:r w:rsidR="005D3CD5" w:rsidRPr="005D3CD5">
        <w:rPr>
          <w:lang w:val="fr-FR"/>
        </w:rPr>
        <w:t>’</w:t>
      </w:r>
      <w:r w:rsidR="00100788" w:rsidRPr="005D3CD5">
        <w:rPr>
          <w:lang w:val="fr-FR"/>
        </w:rPr>
        <w:t>affaire d</w:t>
      </w:r>
      <w:r w:rsidR="001B6771" w:rsidRPr="005D3CD5">
        <w:rPr>
          <w:lang w:val="fr-FR"/>
        </w:rPr>
        <w:t>es</w:t>
      </w:r>
      <w:r w:rsidR="00100788" w:rsidRPr="005D3CD5">
        <w:rPr>
          <w:lang w:val="fr-FR"/>
        </w:rPr>
        <w:t xml:space="preserve"> requérant</w:t>
      </w:r>
      <w:r w:rsidR="001B6771" w:rsidRPr="005D3CD5">
        <w:rPr>
          <w:lang w:val="fr-FR"/>
        </w:rPr>
        <w:t>s</w:t>
      </w:r>
      <w:r w:rsidR="00100788" w:rsidRPr="005D3CD5">
        <w:rPr>
          <w:lang w:val="fr-FR"/>
        </w:rPr>
        <w:t xml:space="preserve"> (</w:t>
      </w:r>
      <w:r w:rsidR="0010049E" w:rsidRPr="005D3CD5">
        <w:rPr>
          <w:i/>
          <w:lang w:val="fr-FR"/>
        </w:rPr>
        <w:t>Zeciri c. Italie</w:t>
      </w:r>
      <w:r w:rsidR="0010049E" w:rsidRPr="005D3CD5">
        <w:rPr>
          <w:lang w:val="fr-FR"/>
        </w:rPr>
        <w:t>, n</w:t>
      </w:r>
      <w:r w:rsidR="0010049E" w:rsidRPr="005D3CD5">
        <w:rPr>
          <w:vertAlign w:val="superscript"/>
          <w:lang w:val="fr-FR"/>
        </w:rPr>
        <w:t>o</w:t>
      </w:r>
      <w:r w:rsidR="0006720F" w:rsidRPr="005D3CD5">
        <w:rPr>
          <w:lang w:val="fr-FR"/>
        </w:rPr>
        <w:t> </w:t>
      </w:r>
      <w:r w:rsidR="0010049E" w:rsidRPr="005D3CD5">
        <w:rPr>
          <w:lang w:val="fr-FR"/>
        </w:rPr>
        <w:t>55764/00, §</w:t>
      </w:r>
      <w:r w:rsidR="00600136" w:rsidRPr="005D3CD5">
        <w:rPr>
          <w:lang w:val="fr-FR"/>
        </w:rPr>
        <w:t> </w:t>
      </w:r>
      <w:r w:rsidR="0010049E" w:rsidRPr="005D3CD5">
        <w:rPr>
          <w:lang w:val="fr-FR"/>
        </w:rPr>
        <w:t>50, 4 août 2005</w:t>
      </w:r>
      <w:r w:rsidR="001B6771" w:rsidRPr="005D3CD5">
        <w:rPr>
          <w:lang w:val="fr-FR"/>
        </w:rPr>
        <w:t>, et</w:t>
      </w:r>
      <w:r w:rsidR="00100788" w:rsidRPr="005D3CD5">
        <w:rPr>
          <w:lang w:val="fr-FR"/>
        </w:rPr>
        <w:t xml:space="preserve"> voir, </w:t>
      </w:r>
      <w:r w:rsidR="00100788" w:rsidRPr="005D3CD5">
        <w:rPr>
          <w:i/>
          <w:lang w:val="fr-FR"/>
        </w:rPr>
        <w:t>mutatis mutandis</w:t>
      </w:r>
      <w:r w:rsidR="00100788" w:rsidRPr="005D3CD5">
        <w:rPr>
          <w:lang w:val="fr-FR"/>
        </w:rPr>
        <w:t xml:space="preserve">, </w:t>
      </w:r>
      <w:r w:rsidR="00100788" w:rsidRPr="005D3CD5">
        <w:rPr>
          <w:i/>
          <w:lang w:val="fr-FR"/>
        </w:rPr>
        <w:t>Sardinas Albo c. Italie</w:t>
      </w:r>
      <w:r w:rsidR="00100788" w:rsidRPr="005D3CD5">
        <w:rPr>
          <w:lang w:val="fr-FR"/>
        </w:rPr>
        <w:t xml:space="preserve"> (déc.), </w:t>
      </w:r>
      <w:r w:rsidR="0006720F" w:rsidRPr="005D3CD5">
        <w:rPr>
          <w:lang w:val="fr-FR"/>
        </w:rPr>
        <w:t>n</w:t>
      </w:r>
      <w:r w:rsidR="0006720F" w:rsidRPr="005D3CD5">
        <w:rPr>
          <w:vertAlign w:val="superscript"/>
          <w:lang w:val="fr-FR"/>
        </w:rPr>
        <w:t>o</w:t>
      </w:r>
      <w:r w:rsidR="005D3CD5" w:rsidRPr="005D3CD5">
        <w:rPr>
          <w:vertAlign w:val="superscript"/>
          <w:lang w:val="fr-FR"/>
        </w:rPr>
        <w:t> </w:t>
      </w:r>
      <w:r w:rsidR="00B120E7" w:rsidRPr="005D3CD5">
        <w:rPr>
          <w:lang w:val="fr-FR"/>
        </w:rPr>
        <w:t>56271/00</w:t>
      </w:r>
      <w:r w:rsidR="00100788" w:rsidRPr="005D3CD5">
        <w:rPr>
          <w:lang w:val="fr-FR"/>
        </w:rPr>
        <w:t>, 8 janvier 2004).</w:t>
      </w:r>
    </w:p>
    <w:p w:rsidR="0010049E" w:rsidRPr="005D3CD5" w:rsidRDefault="0010049E" w:rsidP="005D3CD5">
      <w:pPr>
        <w:pStyle w:val="ECHRPara"/>
        <w:rPr>
          <w:lang w:val="fr-FR"/>
        </w:rPr>
      </w:pPr>
      <w:r w:rsidRPr="005D3CD5">
        <w:rPr>
          <w:lang w:val="fr-FR"/>
        </w:rPr>
        <w:lastRenderedPageBreak/>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45</w:t>
      </w:r>
      <w:r w:rsidRPr="005D3CD5">
        <w:rPr>
          <w:lang w:val="fr-FR"/>
        </w:rPr>
        <w:fldChar w:fldCharType="end"/>
      </w:r>
      <w:r w:rsidRPr="005D3CD5">
        <w:rPr>
          <w:lang w:val="fr-FR"/>
        </w:rPr>
        <w:t>.  Par conséquent</w:t>
      </w:r>
      <w:r w:rsidR="001B6771" w:rsidRPr="005D3CD5">
        <w:rPr>
          <w:lang w:val="fr-FR"/>
        </w:rPr>
        <w:t>,</w:t>
      </w:r>
      <w:r w:rsidRPr="005D3CD5">
        <w:rPr>
          <w:lang w:val="fr-FR"/>
        </w:rPr>
        <w:t xml:space="preserve"> l</w:t>
      </w:r>
      <w:r w:rsidR="005D3CD5" w:rsidRPr="005D3CD5">
        <w:rPr>
          <w:lang w:val="fr-FR"/>
        </w:rPr>
        <w:t>’</w:t>
      </w:r>
      <w:r w:rsidRPr="005D3CD5">
        <w:rPr>
          <w:lang w:val="fr-FR"/>
        </w:rPr>
        <w:t>exception du Gouvernement doit être rejetée.</w:t>
      </w:r>
    </w:p>
    <w:p w:rsidR="008E15D6" w:rsidRPr="005D3CD5" w:rsidRDefault="008E4306" w:rsidP="005D3CD5">
      <w:pPr>
        <w:pStyle w:val="ECHRHeading3"/>
        <w:rPr>
          <w:lang w:val="fr-FR"/>
        </w:rPr>
      </w:pPr>
      <w:r w:rsidRPr="005D3CD5">
        <w:rPr>
          <w:lang w:val="fr-FR"/>
        </w:rPr>
        <w:t>2</w:t>
      </w:r>
      <w:r w:rsidR="0010049E" w:rsidRPr="005D3CD5">
        <w:rPr>
          <w:lang w:val="fr-FR"/>
        </w:rPr>
        <w:t>.</w:t>
      </w:r>
      <w:r w:rsidR="00DE6131" w:rsidRPr="005D3CD5">
        <w:rPr>
          <w:lang w:val="fr-FR"/>
        </w:rPr>
        <w:t>  </w:t>
      </w:r>
      <w:r w:rsidR="004552E0" w:rsidRPr="005D3CD5">
        <w:rPr>
          <w:lang w:val="fr-FR"/>
        </w:rPr>
        <w:t>Sur la q</w:t>
      </w:r>
      <w:r w:rsidRPr="005D3CD5">
        <w:rPr>
          <w:lang w:val="fr-FR"/>
        </w:rPr>
        <w:t xml:space="preserve">ualité de victime </w:t>
      </w:r>
      <w:r w:rsidR="00156598" w:rsidRPr="005D3CD5">
        <w:rPr>
          <w:lang w:val="fr-FR"/>
        </w:rPr>
        <w:t>des requérants</w:t>
      </w:r>
    </w:p>
    <w:p w:rsidR="003E26FB" w:rsidRPr="005D3CD5" w:rsidRDefault="003E26FB" w:rsidP="005D3CD5">
      <w:pPr>
        <w:pStyle w:val="ECHRPara"/>
        <w:rPr>
          <w:rFonts w:ascii="Times New Roman" w:eastAsiaTheme="minorHAnsi" w:hAnsi="Times New Roman" w:cs="Times New Roman"/>
          <w:color w:val="000000"/>
          <w:szCs w:val="24"/>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46</w:t>
      </w:r>
      <w:r w:rsidRPr="005D3CD5">
        <w:rPr>
          <w:lang w:val="fr-FR"/>
        </w:rPr>
        <w:fldChar w:fldCharType="end"/>
      </w:r>
      <w:r w:rsidRPr="005D3CD5">
        <w:rPr>
          <w:lang w:val="fr-FR"/>
        </w:rPr>
        <w:t>.  </w:t>
      </w:r>
      <w:r w:rsidR="00A81DA8" w:rsidRPr="005D3CD5">
        <w:rPr>
          <w:lang w:val="fr-FR"/>
        </w:rPr>
        <w:t>Le Gouvernement considère qu</w:t>
      </w:r>
      <w:r w:rsidR="005D3CD5" w:rsidRPr="005D3CD5">
        <w:rPr>
          <w:lang w:val="fr-FR"/>
        </w:rPr>
        <w:t>’</w:t>
      </w:r>
      <w:r w:rsidR="00A81DA8" w:rsidRPr="005D3CD5">
        <w:rPr>
          <w:lang w:val="fr-FR"/>
        </w:rPr>
        <w:t>en tout état de cause les requérants ont perdu leur qualité de « victime » au sens de l</w:t>
      </w:r>
      <w:r w:rsidR="005D3CD5" w:rsidRPr="005D3CD5">
        <w:rPr>
          <w:lang w:val="fr-FR"/>
        </w:rPr>
        <w:t>’</w:t>
      </w:r>
      <w:r w:rsidR="00A81DA8" w:rsidRPr="005D3CD5">
        <w:rPr>
          <w:lang w:val="fr-FR"/>
        </w:rPr>
        <w:t xml:space="preserve">article 34 de la Convention. </w:t>
      </w:r>
      <w:r w:rsidR="001B6771" w:rsidRPr="005D3CD5">
        <w:rPr>
          <w:lang w:val="fr-FR"/>
        </w:rPr>
        <w:t>À cet égard, il indique e</w:t>
      </w:r>
      <w:r w:rsidR="008B0CD3" w:rsidRPr="005D3CD5">
        <w:rPr>
          <w:lang w:val="fr-FR"/>
        </w:rPr>
        <w:t>n particulier</w:t>
      </w:r>
      <w:r w:rsidR="001B6771" w:rsidRPr="005D3CD5">
        <w:rPr>
          <w:lang w:val="fr-FR"/>
        </w:rPr>
        <w:t xml:space="preserve"> que</w:t>
      </w:r>
      <w:r w:rsidR="008B0CD3" w:rsidRPr="005D3CD5">
        <w:rPr>
          <w:lang w:val="fr-FR"/>
        </w:rPr>
        <w:t xml:space="preserve"> la Cour de cassation</w:t>
      </w:r>
      <w:r w:rsidR="008E4306" w:rsidRPr="005D3CD5">
        <w:rPr>
          <w:lang w:val="fr-FR"/>
        </w:rPr>
        <w:t xml:space="preserve"> </w:t>
      </w:r>
      <w:r w:rsidR="008B0CD3" w:rsidRPr="005D3CD5">
        <w:rPr>
          <w:lang w:val="fr-FR"/>
        </w:rPr>
        <w:t>a</w:t>
      </w:r>
      <w:r w:rsidR="004172C8" w:rsidRPr="005D3CD5">
        <w:rPr>
          <w:lang w:val="fr-FR"/>
        </w:rPr>
        <w:t xml:space="preserve"> redressé</w:t>
      </w:r>
      <w:r w:rsidR="00E955CD" w:rsidRPr="005D3CD5">
        <w:rPr>
          <w:lang w:val="fr-FR"/>
        </w:rPr>
        <w:t xml:space="preserve"> </w:t>
      </w:r>
      <w:r w:rsidR="008E4306" w:rsidRPr="005D3CD5">
        <w:rPr>
          <w:lang w:val="fr-FR"/>
        </w:rPr>
        <w:t>leurs griefs</w:t>
      </w:r>
      <w:r w:rsidR="00E955CD" w:rsidRPr="005D3CD5">
        <w:rPr>
          <w:lang w:val="fr-FR"/>
        </w:rPr>
        <w:t xml:space="preserve"> </w:t>
      </w:r>
      <w:r w:rsidR="008B0CD3" w:rsidRPr="005D3CD5">
        <w:rPr>
          <w:lang w:val="fr-FR"/>
        </w:rPr>
        <w:t xml:space="preserve">en annulant </w:t>
      </w:r>
      <w:r w:rsidR="00E955CD" w:rsidRPr="005D3CD5">
        <w:rPr>
          <w:lang w:val="fr-FR"/>
        </w:rPr>
        <w:t xml:space="preserve">la </w:t>
      </w:r>
      <w:r w:rsidR="008E4306" w:rsidRPr="005D3CD5">
        <w:rPr>
          <w:lang w:val="fr-FR"/>
        </w:rPr>
        <w:t>prolongation</w:t>
      </w:r>
      <w:r w:rsidR="00E955CD" w:rsidRPr="005D3CD5">
        <w:rPr>
          <w:lang w:val="fr-FR"/>
        </w:rPr>
        <w:t xml:space="preserve"> </w:t>
      </w:r>
      <w:r w:rsidR="00A27A17" w:rsidRPr="005D3CD5">
        <w:rPr>
          <w:lang w:val="fr-FR"/>
        </w:rPr>
        <w:t>d</w:t>
      </w:r>
      <w:r w:rsidR="00E955CD" w:rsidRPr="005D3CD5">
        <w:rPr>
          <w:lang w:val="fr-FR"/>
        </w:rPr>
        <w:t xml:space="preserve">e la </w:t>
      </w:r>
      <w:r w:rsidR="00A27A17" w:rsidRPr="005D3CD5">
        <w:rPr>
          <w:lang w:val="fr-FR"/>
        </w:rPr>
        <w:t xml:space="preserve">rétention </w:t>
      </w:r>
      <w:r w:rsidR="00004AC4" w:rsidRPr="005D3CD5">
        <w:rPr>
          <w:lang w:val="fr-FR"/>
        </w:rPr>
        <w:t>au motif qu</w:t>
      </w:r>
      <w:r w:rsidR="005D3CD5" w:rsidRPr="005D3CD5">
        <w:rPr>
          <w:lang w:val="fr-FR"/>
        </w:rPr>
        <w:t>’</w:t>
      </w:r>
      <w:r w:rsidR="008B0CD3" w:rsidRPr="005D3CD5">
        <w:rPr>
          <w:lang w:val="fr-FR"/>
        </w:rPr>
        <w:t>elle a</w:t>
      </w:r>
      <w:r w:rsidRPr="005D3CD5">
        <w:rPr>
          <w:lang w:val="fr-FR"/>
        </w:rPr>
        <w:t>vait été adopté</w:t>
      </w:r>
      <w:r w:rsidR="00293AD5" w:rsidRPr="005D3CD5">
        <w:rPr>
          <w:lang w:val="fr-FR"/>
        </w:rPr>
        <w:t>e</w:t>
      </w:r>
      <w:r w:rsidRPr="005D3CD5">
        <w:rPr>
          <w:lang w:val="fr-FR"/>
        </w:rPr>
        <w:t xml:space="preserve"> </w:t>
      </w:r>
      <w:r w:rsidRPr="005D3CD5">
        <w:rPr>
          <w:i/>
          <w:lang w:val="fr-FR"/>
        </w:rPr>
        <w:t>de plano</w:t>
      </w:r>
      <w:r w:rsidR="009749EB" w:rsidRPr="005D3CD5">
        <w:rPr>
          <w:lang w:val="fr-FR"/>
        </w:rPr>
        <w:t xml:space="preserve">, </w:t>
      </w:r>
      <w:r w:rsidR="008B0CD3" w:rsidRPr="005D3CD5">
        <w:rPr>
          <w:lang w:val="fr-FR"/>
        </w:rPr>
        <w:t>sans respect</w:t>
      </w:r>
      <w:r w:rsidR="009749EB" w:rsidRPr="005D3CD5">
        <w:rPr>
          <w:lang w:val="fr-FR"/>
        </w:rPr>
        <w:t xml:space="preserve"> du </w:t>
      </w:r>
      <w:r w:rsidR="008B0CD3" w:rsidRPr="005D3CD5">
        <w:rPr>
          <w:lang w:val="fr-FR"/>
        </w:rPr>
        <w:t>principe du contradictoire</w:t>
      </w:r>
      <w:r w:rsidRPr="005D3CD5">
        <w:rPr>
          <w:lang w:val="fr-FR"/>
        </w:rPr>
        <w:t xml:space="preserve">. </w:t>
      </w:r>
      <w:r w:rsidR="008E4306" w:rsidRPr="005D3CD5">
        <w:rPr>
          <w:lang w:val="fr-FR"/>
        </w:rPr>
        <w:t>L</w:t>
      </w:r>
      <w:r w:rsidR="00E955CD" w:rsidRPr="005D3CD5">
        <w:rPr>
          <w:lang w:val="fr-FR"/>
        </w:rPr>
        <w:t xml:space="preserve">es requérants auraient </w:t>
      </w:r>
      <w:r w:rsidR="008E4306" w:rsidRPr="005D3CD5">
        <w:rPr>
          <w:lang w:val="fr-FR"/>
        </w:rPr>
        <w:t xml:space="preserve">donc </w:t>
      </w:r>
      <w:r w:rsidR="00E955CD" w:rsidRPr="005D3CD5">
        <w:rPr>
          <w:lang w:val="fr-FR"/>
        </w:rPr>
        <w:t xml:space="preserve">déjà obtenu un redressement </w:t>
      </w:r>
      <w:r w:rsidRPr="005D3CD5">
        <w:rPr>
          <w:lang w:val="fr-FR"/>
        </w:rPr>
        <w:t>de leur</w:t>
      </w:r>
      <w:r w:rsidR="00B60F7D" w:rsidRPr="005D3CD5">
        <w:rPr>
          <w:lang w:val="fr-FR"/>
        </w:rPr>
        <w:t>s</w:t>
      </w:r>
      <w:r w:rsidRPr="005D3CD5">
        <w:rPr>
          <w:lang w:val="fr-FR"/>
        </w:rPr>
        <w:t xml:space="preserve"> grief</w:t>
      </w:r>
      <w:r w:rsidR="00B60F7D" w:rsidRPr="005D3CD5">
        <w:rPr>
          <w:lang w:val="fr-FR"/>
        </w:rPr>
        <w:t>s</w:t>
      </w:r>
      <w:r w:rsidRPr="005D3CD5">
        <w:rPr>
          <w:lang w:val="fr-FR"/>
        </w:rPr>
        <w:t xml:space="preserve"> au nive</w:t>
      </w:r>
      <w:r w:rsidR="00F8081D" w:rsidRPr="005D3CD5">
        <w:rPr>
          <w:lang w:val="fr-FR"/>
        </w:rPr>
        <w:t xml:space="preserve">au interne </w:t>
      </w:r>
      <w:r w:rsidR="00A46BDD" w:rsidRPr="005D3CD5">
        <w:rPr>
          <w:lang w:val="fr-FR"/>
        </w:rPr>
        <w:t>(</w:t>
      </w:r>
      <w:r w:rsidR="00293AD5" w:rsidRPr="005D3CD5">
        <w:rPr>
          <w:i/>
          <w:lang w:val="fr-FR"/>
        </w:rPr>
        <w:t>Lacko c. Slovaquie</w:t>
      </w:r>
      <w:r w:rsidR="00293AD5" w:rsidRPr="005D3CD5">
        <w:rPr>
          <w:lang w:val="fr-FR"/>
        </w:rPr>
        <w:t xml:space="preserve"> (déc.), n</w:t>
      </w:r>
      <w:r w:rsidR="00293AD5" w:rsidRPr="005D3CD5">
        <w:rPr>
          <w:vertAlign w:val="superscript"/>
          <w:lang w:val="fr-FR"/>
        </w:rPr>
        <w:t>o</w:t>
      </w:r>
      <w:r w:rsidR="00293AD5" w:rsidRPr="005D3CD5">
        <w:rPr>
          <w:lang w:val="fr-FR"/>
        </w:rPr>
        <w:t xml:space="preserve"> 47237/99, CEDH, 2 juillet 2002, </w:t>
      </w:r>
      <w:r w:rsidR="00293AD5" w:rsidRPr="005D3CD5">
        <w:rPr>
          <w:i/>
          <w:lang w:val="fr-FR"/>
        </w:rPr>
        <w:t>Bogdanovsky c. Italie</w:t>
      </w:r>
      <w:r w:rsidR="00293AD5" w:rsidRPr="005D3CD5">
        <w:rPr>
          <w:lang w:val="fr-FR"/>
        </w:rPr>
        <w:t xml:space="preserve"> (déc.), n</w:t>
      </w:r>
      <w:r w:rsidR="00293AD5" w:rsidRPr="005D3CD5">
        <w:rPr>
          <w:vertAlign w:val="superscript"/>
          <w:lang w:val="fr-FR"/>
        </w:rPr>
        <w:t>o</w:t>
      </w:r>
      <w:r w:rsidR="00293AD5" w:rsidRPr="005D3CD5">
        <w:rPr>
          <w:lang w:val="fr-FR"/>
        </w:rPr>
        <w:t xml:space="preserve"> 72177/01, 9 </w:t>
      </w:r>
      <w:r w:rsidR="00004AC4" w:rsidRPr="005D3CD5">
        <w:rPr>
          <w:lang w:val="fr-FR"/>
        </w:rPr>
        <w:t>j</w:t>
      </w:r>
      <w:r w:rsidR="00293AD5" w:rsidRPr="005D3CD5">
        <w:rPr>
          <w:lang w:val="fr-FR"/>
        </w:rPr>
        <w:t xml:space="preserve">uillet 2002, </w:t>
      </w:r>
      <w:r w:rsidR="0012663C" w:rsidRPr="005D3CD5">
        <w:rPr>
          <w:i/>
          <w:lang w:val="fr-FR"/>
        </w:rPr>
        <w:t>Ovihangy</w:t>
      </w:r>
      <w:r w:rsidR="00293AD5" w:rsidRPr="005D3CD5">
        <w:rPr>
          <w:i/>
          <w:lang w:val="fr-FR"/>
        </w:rPr>
        <w:t xml:space="preserve"> c. </w:t>
      </w:r>
      <w:r w:rsidR="0012663C" w:rsidRPr="005D3CD5">
        <w:rPr>
          <w:i/>
          <w:lang w:val="fr-FR"/>
        </w:rPr>
        <w:t>Suède</w:t>
      </w:r>
      <w:r w:rsidR="00293AD5" w:rsidRPr="005D3CD5">
        <w:rPr>
          <w:lang w:val="fr-FR"/>
        </w:rPr>
        <w:t xml:space="preserve"> (déc.), n</w:t>
      </w:r>
      <w:r w:rsidR="00293AD5" w:rsidRPr="005D3CD5">
        <w:rPr>
          <w:vertAlign w:val="superscript"/>
          <w:lang w:val="fr-FR"/>
        </w:rPr>
        <w:t>o</w:t>
      </w:r>
      <w:r w:rsidR="00293AD5" w:rsidRPr="005D3CD5">
        <w:rPr>
          <w:lang w:val="fr-FR"/>
        </w:rPr>
        <w:t xml:space="preserve"> </w:t>
      </w:r>
      <w:r w:rsidR="0012663C" w:rsidRPr="005D3CD5">
        <w:rPr>
          <w:lang w:val="fr-FR"/>
        </w:rPr>
        <w:t>44421/02</w:t>
      </w:r>
      <w:r w:rsidR="00293AD5" w:rsidRPr="005D3CD5">
        <w:rPr>
          <w:lang w:val="fr-FR"/>
        </w:rPr>
        <w:t xml:space="preserve">, </w:t>
      </w:r>
      <w:r w:rsidR="0012663C" w:rsidRPr="005D3CD5">
        <w:rPr>
          <w:lang w:val="fr-FR"/>
        </w:rPr>
        <w:t xml:space="preserve">9 mars </w:t>
      </w:r>
      <w:r w:rsidR="00A46BDD" w:rsidRPr="005D3CD5">
        <w:rPr>
          <w:lang w:val="fr-FR"/>
        </w:rPr>
        <w:t>2004)</w:t>
      </w:r>
      <w:r w:rsidR="0012663C" w:rsidRPr="005D3CD5">
        <w:rPr>
          <w:lang w:val="fr-FR"/>
        </w:rPr>
        <w:t>.</w:t>
      </w:r>
    </w:p>
    <w:p w:rsidR="004172C8" w:rsidRPr="005D3CD5" w:rsidRDefault="00156598"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47</w:t>
      </w:r>
      <w:r w:rsidRPr="005D3CD5">
        <w:rPr>
          <w:lang w:val="fr-FR"/>
        </w:rPr>
        <w:fldChar w:fldCharType="end"/>
      </w:r>
      <w:r w:rsidRPr="005D3CD5">
        <w:rPr>
          <w:lang w:val="fr-FR"/>
        </w:rPr>
        <w:t>.  </w:t>
      </w:r>
      <w:r w:rsidR="00E955CD" w:rsidRPr="005D3CD5">
        <w:rPr>
          <w:lang w:val="fr-FR"/>
        </w:rPr>
        <w:t>Les requérant</w:t>
      </w:r>
      <w:r w:rsidR="00147638" w:rsidRPr="005D3CD5">
        <w:rPr>
          <w:lang w:val="fr-FR"/>
        </w:rPr>
        <w:t>s</w:t>
      </w:r>
      <w:r w:rsidR="00E955CD" w:rsidRPr="005D3CD5">
        <w:rPr>
          <w:lang w:val="fr-FR"/>
        </w:rPr>
        <w:t xml:space="preserve"> </w:t>
      </w:r>
      <w:r w:rsidR="00004AC4" w:rsidRPr="005D3CD5">
        <w:rPr>
          <w:lang w:val="fr-FR"/>
        </w:rPr>
        <w:t>combattent</w:t>
      </w:r>
      <w:r w:rsidR="00E955CD" w:rsidRPr="005D3CD5">
        <w:rPr>
          <w:lang w:val="fr-FR"/>
        </w:rPr>
        <w:t xml:space="preserve"> la thèse du Gouvernement</w:t>
      </w:r>
      <w:r w:rsidR="00004AC4" w:rsidRPr="005D3CD5">
        <w:rPr>
          <w:lang w:val="fr-FR"/>
        </w:rPr>
        <w:t xml:space="preserve">. Ils indiquent </w:t>
      </w:r>
      <w:r w:rsidR="003E26FB" w:rsidRPr="005D3CD5">
        <w:rPr>
          <w:lang w:val="fr-FR"/>
        </w:rPr>
        <w:t xml:space="preserve">que la décision de la </w:t>
      </w:r>
      <w:r w:rsidR="0012663C" w:rsidRPr="005D3CD5">
        <w:rPr>
          <w:lang w:val="fr-FR"/>
        </w:rPr>
        <w:t xml:space="preserve">Cour de cassation </w:t>
      </w:r>
      <w:r w:rsidR="003E26FB" w:rsidRPr="005D3CD5">
        <w:rPr>
          <w:lang w:val="fr-FR"/>
        </w:rPr>
        <w:t xml:space="preserve">est intervenue </w:t>
      </w:r>
      <w:r w:rsidR="0012663C" w:rsidRPr="005D3CD5">
        <w:rPr>
          <w:lang w:val="fr-FR"/>
        </w:rPr>
        <w:t>dix-huit</w:t>
      </w:r>
      <w:r w:rsidR="003E26FB" w:rsidRPr="005D3CD5">
        <w:rPr>
          <w:lang w:val="fr-FR"/>
        </w:rPr>
        <w:t xml:space="preserve"> mois après leur libération et</w:t>
      </w:r>
      <w:r w:rsidR="00004AC4" w:rsidRPr="005D3CD5">
        <w:rPr>
          <w:lang w:val="fr-FR"/>
        </w:rPr>
        <w:t xml:space="preserve"> qu</w:t>
      </w:r>
      <w:r w:rsidR="005D3CD5" w:rsidRPr="005D3CD5">
        <w:rPr>
          <w:lang w:val="fr-FR"/>
        </w:rPr>
        <w:t>’</w:t>
      </w:r>
      <w:r w:rsidR="00004AC4" w:rsidRPr="005D3CD5">
        <w:rPr>
          <w:lang w:val="fr-FR"/>
        </w:rPr>
        <w:t>elle n</w:t>
      </w:r>
      <w:r w:rsidR="005D3CD5" w:rsidRPr="005D3CD5">
        <w:rPr>
          <w:lang w:val="fr-FR"/>
        </w:rPr>
        <w:t>’</w:t>
      </w:r>
      <w:r w:rsidR="00004AC4" w:rsidRPr="005D3CD5">
        <w:rPr>
          <w:lang w:val="fr-FR"/>
        </w:rPr>
        <w:t xml:space="preserve">a par conséquent pas permis un redressement de leurs griefs : ils </w:t>
      </w:r>
      <w:r w:rsidR="003E26FB" w:rsidRPr="005D3CD5">
        <w:rPr>
          <w:lang w:val="fr-FR"/>
        </w:rPr>
        <w:t>n</w:t>
      </w:r>
      <w:r w:rsidR="005D3CD5" w:rsidRPr="005D3CD5">
        <w:rPr>
          <w:lang w:val="fr-FR"/>
        </w:rPr>
        <w:t>’</w:t>
      </w:r>
      <w:r w:rsidR="00004AC4" w:rsidRPr="005D3CD5">
        <w:rPr>
          <w:lang w:val="fr-FR"/>
        </w:rPr>
        <w:t>auraient donc</w:t>
      </w:r>
      <w:r w:rsidR="003E26FB" w:rsidRPr="005D3CD5">
        <w:rPr>
          <w:lang w:val="fr-FR"/>
        </w:rPr>
        <w:t xml:space="preserve"> </w:t>
      </w:r>
      <w:r w:rsidR="00EC15AD" w:rsidRPr="005D3CD5">
        <w:rPr>
          <w:lang w:val="fr-FR"/>
        </w:rPr>
        <w:t>bénéficié d</w:t>
      </w:r>
      <w:r w:rsidR="005D3CD5" w:rsidRPr="005D3CD5">
        <w:rPr>
          <w:lang w:val="fr-FR"/>
        </w:rPr>
        <w:t>’</w:t>
      </w:r>
      <w:r w:rsidR="00EC15AD" w:rsidRPr="005D3CD5">
        <w:rPr>
          <w:lang w:val="fr-FR"/>
        </w:rPr>
        <w:t>aucune réparation</w:t>
      </w:r>
      <w:r w:rsidR="003E26FB" w:rsidRPr="005D3CD5">
        <w:rPr>
          <w:lang w:val="fr-FR"/>
        </w:rPr>
        <w:t>.</w:t>
      </w:r>
    </w:p>
    <w:p w:rsidR="001A6F85" w:rsidRPr="005D3CD5" w:rsidRDefault="00664C6A"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48</w:t>
      </w:r>
      <w:r w:rsidRPr="005D3CD5">
        <w:rPr>
          <w:lang w:val="fr-FR"/>
        </w:rPr>
        <w:fldChar w:fldCharType="end"/>
      </w:r>
      <w:r w:rsidRPr="005D3CD5">
        <w:rPr>
          <w:lang w:val="fr-FR"/>
        </w:rPr>
        <w:t>.  </w:t>
      </w:r>
      <w:r w:rsidR="001A6F85" w:rsidRPr="005D3CD5">
        <w:rPr>
          <w:lang w:val="fr-FR"/>
        </w:rPr>
        <w:t>La Cour rappelle</w:t>
      </w:r>
      <w:r w:rsidR="00FC1F58" w:rsidRPr="005D3CD5">
        <w:rPr>
          <w:lang w:val="fr-FR"/>
        </w:rPr>
        <w:t xml:space="preserve"> </w:t>
      </w:r>
      <w:r w:rsidR="001A6F85" w:rsidRPr="005D3CD5">
        <w:rPr>
          <w:lang w:val="fr-FR"/>
        </w:rPr>
        <w:t>que ne peut pas se prétendre «</w:t>
      </w:r>
      <w:r w:rsidR="00676CA4" w:rsidRPr="005D3CD5">
        <w:rPr>
          <w:lang w:val="fr-FR"/>
        </w:rPr>
        <w:t> </w:t>
      </w:r>
      <w:r w:rsidR="001A6F85" w:rsidRPr="005D3CD5">
        <w:rPr>
          <w:lang w:val="fr-FR"/>
        </w:rPr>
        <w:t>victime</w:t>
      </w:r>
      <w:r w:rsidR="00676CA4" w:rsidRPr="005D3CD5">
        <w:rPr>
          <w:lang w:val="fr-FR"/>
        </w:rPr>
        <w:t> </w:t>
      </w:r>
      <w:r w:rsidR="001A6F85" w:rsidRPr="005D3CD5">
        <w:rPr>
          <w:lang w:val="fr-FR"/>
        </w:rPr>
        <w:t>», au sens de l</w:t>
      </w:r>
      <w:r w:rsidR="005D3CD5" w:rsidRPr="005D3CD5">
        <w:rPr>
          <w:lang w:val="fr-FR"/>
        </w:rPr>
        <w:t>’</w:t>
      </w:r>
      <w:r w:rsidR="001A6F85" w:rsidRPr="005D3CD5">
        <w:rPr>
          <w:lang w:val="fr-FR"/>
        </w:rPr>
        <w:t xml:space="preserve">article 34 de la Convention, celui qui, au plan national, a obtenu un redressement adéquat des violations alléguées de la Convention (voir, par exemple, </w:t>
      </w:r>
      <w:r w:rsidR="001A6F85" w:rsidRPr="005D3CD5">
        <w:rPr>
          <w:i/>
          <w:lang w:val="fr-FR"/>
        </w:rPr>
        <w:t>mutatis mutandis</w:t>
      </w:r>
      <w:r w:rsidR="001A6F85" w:rsidRPr="005D3CD5">
        <w:rPr>
          <w:lang w:val="fr-FR"/>
        </w:rPr>
        <w:t xml:space="preserve">, </w:t>
      </w:r>
      <w:r w:rsidR="001A6F85" w:rsidRPr="005D3CD5">
        <w:rPr>
          <w:i/>
          <w:lang w:val="fr-FR"/>
        </w:rPr>
        <w:t>Eckle c. Allemagne</w:t>
      </w:r>
      <w:r w:rsidR="002F1E9F" w:rsidRPr="005D3CD5">
        <w:rPr>
          <w:lang w:val="fr-FR"/>
        </w:rPr>
        <w:t>, 1</w:t>
      </w:r>
      <w:r w:rsidR="001A6F85" w:rsidRPr="005D3CD5">
        <w:rPr>
          <w:lang w:val="fr-FR"/>
        </w:rPr>
        <w:t xml:space="preserve">5 juillet 1982, </w:t>
      </w:r>
      <w:r w:rsidR="002F1E9F" w:rsidRPr="005D3CD5">
        <w:rPr>
          <w:lang w:val="fr-FR"/>
        </w:rPr>
        <w:t xml:space="preserve">§ 66, </w:t>
      </w:r>
      <w:r w:rsidR="005D3CD5" w:rsidRPr="005D3CD5">
        <w:rPr>
          <w:lang w:val="fr-FR"/>
        </w:rPr>
        <w:t>série </w:t>
      </w:r>
      <w:r w:rsidR="001A6F85" w:rsidRPr="005D3CD5">
        <w:rPr>
          <w:lang w:val="fr-FR"/>
        </w:rPr>
        <w:t>A, n</w:t>
      </w:r>
      <w:r w:rsidR="001A6F85" w:rsidRPr="005D3CD5">
        <w:rPr>
          <w:vertAlign w:val="superscript"/>
          <w:lang w:val="fr-FR"/>
        </w:rPr>
        <w:t>o</w:t>
      </w:r>
      <w:r w:rsidR="001A6F85" w:rsidRPr="005D3CD5">
        <w:rPr>
          <w:lang w:val="fr-FR"/>
        </w:rPr>
        <w:t xml:space="preserve"> 51, </w:t>
      </w:r>
      <w:r w:rsidR="00863004" w:rsidRPr="005D3CD5">
        <w:rPr>
          <w:i/>
          <w:lang w:val="fr-FR"/>
        </w:rPr>
        <w:t>Amuur c. France</w:t>
      </w:r>
      <w:r w:rsidR="00863004" w:rsidRPr="005D3CD5">
        <w:rPr>
          <w:lang w:val="fr-FR"/>
        </w:rPr>
        <w:t xml:space="preserve">, 25 juin 1996, § 36, </w:t>
      </w:r>
      <w:r w:rsidR="00863004" w:rsidRPr="005D3CD5">
        <w:rPr>
          <w:i/>
          <w:lang w:val="fr-FR"/>
        </w:rPr>
        <w:t>Recueil des arrêts et décisions</w:t>
      </w:r>
      <w:r w:rsidR="00863004" w:rsidRPr="005D3CD5">
        <w:rPr>
          <w:lang w:val="fr-FR"/>
        </w:rPr>
        <w:t xml:space="preserve"> 1996</w:t>
      </w:r>
      <w:r w:rsidR="00863004" w:rsidRPr="005D3CD5">
        <w:rPr>
          <w:lang w:val="fr-FR"/>
        </w:rPr>
        <w:noBreakHyphen/>
        <w:t>III</w:t>
      </w:r>
      <w:r w:rsidR="001A6F85" w:rsidRPr="005D3CD5">
        <w:rPr>
          <w:lang w:val="fr-FR"/>
        </w:rPr>
        <w:t xml:space="preserve">, </w:t>
      </w:r>
      <w:r w:rsidR="001A6F85" w:rsidRPr="005D3CD5">
        <w:rPr>
          <w:i/>
          <w:lang w:val="fr-FR"/>
        </w:rPr>
        <w:t>Guisset c. France,</w:t>
      </w:r>
      <w:r w:rsidR="001A6F85" w:rsidRPr="005D3CD5">
        <w:rPr>
          <w:lang w:val="fr-FR"/>
        </w:rPr>
        <w:t xml:space="preserve"> n</w:t>
      </w:r>
      <w:r w:rsidR="001A6F85" w:rsidRPr="005D3CD5">
        <w:rPr>
          <w:vertAlign w:val="superscript"/>
          <w:lang w:val="fr-FR"/>
        </w:rPr>
        <w:t>o</w:t>
      </w:r>
      <w:r w:rsidR="001A6F85" w:rsidRPr="005D3CD5">
        <w:rPr>
          <w:lang w:val="fr-FR"/>
        </w:rPr>
        <w:t xml:space="preserve"> </w:t>
      </w:r>
      <w:r w:rsidR="00B120E7" w:rsidRPr="005D3CD5">
        <w:rPr>
          <w:lang w:val="fr-FR"/>
        </w:rPr>
        <w:t xml:space="preserve">33933/96, </w:t>
      </w:r>
      <w:r w:rsidR="001A6F85" w:rsidRPr="005D3CD5">
        <w:rPr>
          <w:lang w:val="fr-FR"/>
        </w:rPr>
        <w:t xml:space="preserve">§ 66, CEDH 2000-XI, et </w:t>
      </w:r>
      <w:r w:rsidR="001A6F85" w:rsidRPr="005D3CD5">
        <w:rPr>
          <w:i/>
          <w:lang w:val="fr-FR"/>
        </w:rPr>
        <w:t>Kaftailova c. Lettonie</w:t>
      </w:r>
      <w:r w:rsidR="00BE2D06" w:rsidRPr="005D3CD5">
        <w:rPr>
          <w:lang w:val="fr-FR"/>
        </w:rPr>
        <w:t xml:space="preserve"> (déc.),</w:t>
      </w:r>
      <w:r w:rsidR="001A6F85" w:rsidRPr="005D3CD5">
        <w:rPr>
          <w:lang w:val="fr-FR"/>
        </w:rPr>
        <w:t xml:space="preserve"> n</w:t>
      </w:r>
      <w:r w:rsidR="001A6F85" w:rsidRPr="005D3CD5">
        <w:rPr>
          <w:vertAlign w:val="superscript"/>
          <w:lang w:val="fr-FR"/>
        </w:rPr>
        <w:t>o</w:t>
      </w:r>
      <w:r w:rsidR="001A6F85" w:rsidRPr="005D3CD5">
        <w:rPr>
          <w:lang w:val="fr-FR"/>
        </w:rPr>
        <w:t xml:space="preserve"> </w:t>
      </w:r>
      <w:r w:rsidR="00B120E7" w:rsidRPr="005D3CD5">
        <w:rPr>
          <w:lang w:val="fr-FR"/>
        </w:rPr>
        <w:t>59643/00,</w:t>
      </w:r>
      <w:r w:rsidR="001A6F85" w:rsidRPr="005D3CD5">
        <w:rPr>
          <w:lang w:val="fr-FR"/>
        </w:rPr>
        <w:t xml:space="preserve"> 21 octobre 2004). Cette règle vaut même si l</w:t>
      </w:r>
      <w:r w:rsidR="005D3CD5" w:rsidRPr="005D3CD5">
        <w:rPr>
          <w:lang w:val="fr-FR"/>
        </w:rPr>
        <w:t>’</w:t>
      </w:r>
      <w:r w:rsidR="001A6F85" w:rsidRPr="005D3CD5">
        <w:rPr>
          <w:lang w:val="fr-FR"/>
        </w:rPr>
        <w:t>intéressé obtient satisfaction alors que la procédure est déjà engagée devant la Cour ; ainsi le veut le caractère subsidiaire du système des garanties de la Convention (voir</w:t>
      </w:r>
      <w:r w:rsidR="00BE2D06" w:rsidRPr="005D3CD5">
        <w:rPr>
          <w:lang w:val="fr-FR"/>
        </w:rPr>
        <w:t>,</w:t>
      </w:r>
      <w:r w:rsidR="001A6F85" w:rsidRPr="005D3CD5">
        <w:rPr>
          <w:lang w:val="fr-FR"/>
        </w:rPr>
        <w:t xml:space="preserve"> en particulier</w:t>
      </w:r>
      <w:r w:rsidR="00BE2D06" w:rsidRPr="005D3CD5">
        <w:rPr>
          <w:lang w:val="fr-FR"/>
        </w:rPr>
        <w:t>,</w:t>
      </w:r>
      <w:r w:rsidR="001A6F85" w:rsidRPr="005D3CD5">
        <w:rPr>
          <w:lang w:val="fr-FR"/>
        </w:rPr>
        <w:t xml:space="preserve"> </w:t>
      </w:r>
      <w:r w:rsidR="001A6F85" w:rsidRPr="005D3CD5">
        <w:rPr>
          <w:i/>
          <w:lang w:val="fr-FR"/>
        </w:rPr>
        <w:t>Mikheyeva c. Lettonie</w:t>
      </w:r>
      <w:r w:rsidR="001A6F85" w:rsidRPr="005D3CD5">
        <w:rPr>
          <w:lang w:val="fr-FR"/>
        </w:rPr>
        <w:t xml:space="preserve"> </w:t>
      </w:r>
      <w:r w:rsidR="00BE2D06" w:rsidRPr="005D3CD5">
        <w:rPr>
          <w:lang w:val="fr-FR"/>
        </w:rPr>
        <w:t>(déc.)</w:t>
      </w:r>
      <w:r w:rsidR="00FB2E46" w:rsidRPr="005D3CD5">
        <w:rPr>
          <w:lang w:val="fr-FR"/>
        </w:rPr>
        <w:t xml:space="preserve">, </w:t>
      </w:r>
      <w:r w:rsidR="00676CA4" w:rsidRPr="005D3CD5">
        <w:rPr>
          <w:lang w:val="fr-FR"/>
        </w:rPr>
        <w:t>n</w:t>
      </w:r>
      <w:r w:rsidR="009F210B" w:rsidRPr="005D3CD5">
        <w:rPr>
          <w:vertAlign w:val="superscript"/>
          <w:lang w:val="fr-FR"/>
        </w:rPr>
        <w:t>o</w:t>
      </w:r>
      <w:r w:rsidR="00676CA4" w:rsidRPr="005D3CD5">
        <w:rPr>
          <w:vertAlign w:val="superscript"/>
          <w:lang w:val="fr-FR"/>
        </w:rPr>
        <w:t> </w:t>
      </w:r>
      <w:r w:rsidR="00082A91" w:rsidRPr="005D3CD5">
        <w:rPr>
          <w:lang w:val="fr-FR"/>
        </w:rPr>
        <w:t>50029/99, 12 septembre 2002</w:t>
      </w:r>
      <w:r w:rsidR="001A6F85" w:rsidRPr="005D3CD5">
        <w:rPr>
          <w:lang w:val="fr-FR"/>
        </w:rPr>
        <w:t>).</w:t>
      </w:r>
    </w:p>
    <w:p w:rsidR="009F210B" w:rsidRPr="005D3CD5" w:rsidRDefault="003E26FB"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49</w:t>
      </w:r>
      <w:r w:rsidRPr="005D3CD5">
        <w:rPr>
          <w:lang w:val="fr-FR"/>
        </w:rPr>
        <w:fldChar w:fldCharType="end"/>
      </w:r>
      <w:r w:rsidRPr="005D3CD5">
        <w:rPr>
          <w:lang w:val="fr-FR"/>
        </w:rPr>
        <w:t>.  </w:t>
      </w:r>
      <w:r w:rsidR="005F29CA" w:rsidRPr="005D3CD5">
        <w:rPr>
          <w:lang w:val="fr-FR"/>
        </w:rPr>
        <w:t>La Cour rappelle également que, p</w:t>
      </w:r>
      <w:r w:rsidR="001A6F85" w:rsidRPr="005D3CD5">
        <w:rPr>
          <w:lang w:val="fr-FR"/>
        </w:rPr>
        <w:t>our qu</w:t>
      </w:r>
      <w:r w:rsidR="005D3CD5" w:rsidRPr="005D3CD5">
        <w:rPr>
          <w:lang w:val="fr-FR"/>
        </w:rPr>
        <w:t>’</w:t>
      </w:r>
      <w:r w:rsidR="001A6F85" w:rsidRPr="005D3CD5">
        <w:rPr>
          <w:lang w:val="fr-FR"/>
        </w:rPr>
        <w:t xml:space="preserve">une décision ou une mesure favorable </w:t>
      </w:r>
      <w:r w:rsidR="005F29CA" w:rsidRPr="005D3CD5">
        <w:rPr>
          <w:lang w:val="fr-FR"/>
        </w:rPr>
        <w:t>à un</w:t>
      </w:r>
      <w:r w:rsidR="001A6F85" w:rsidRPr="005D3CD5">
        <w:rPr>
          <w:lang w:val="fr-FR"/>
        </w:rPr>
        <w:t xml:space="preserve"> requérant suffise à lui retirer la qualité de victime, il faut en principe que les autorités nationales aient reconnu, explicitement ou en substance, puis réparé la violation alléguée de la Convention (voir, parmi beaucoup d</w:t>
      </w:r>
      <w:r w:rsidR="005D3CD5" w:rsidRPr="005D3CD5">
        <w:rPr>
          <w:lang w:val="fr-FR"/>
        </w:rPr>
        <w:t>’</w:t>
      </w:r>
      <w:r w:rsidR="001A6F85" w:rsidRPr="005D3CD5">
        <w:rPr>
          <w:lang w:val="fr-FR"/>
        </w:rPr>
        <w:t xml:space="preserve">autres, </w:t>
      </w:r>
      <w:r w:rsidR="005F29CA" w:rsidRPr="005D3CD5">
        <w:rPr>
          <w:lang w:val="fr-FR"/>
        </w:rPr>
        <w:t xml:space="preserve">les arrêts </w:t>
      </w:r>
      <w:r w:rsidR="005F29CA" w:rsidRPr="005D3CD5">
        <w:rPr>
          <w:i/>
          <w:lang w:val="fr-FR"/>
        </w:rPr>
        <w:t>Lüdi c. Suisse</w:t>
      </w:r>
      <w:r w:rsidR="005F29CA" w:rsidRPr="005D3CD5">
        <w:rPr>
          <w:lang w:val="fr-FR"/>
        </w:rPr>
        <w:t>, 15 juin 1992, § 34, série A n</w:t>
      </w:r>
      <w:r w:rsidR="005F29CA" w:rsidRPr="005D3CD5">
        <w:rPr>
          <w:vertAlign w:val="superscript"/>
          <w:lang w:val="fr-FR"/>
        </w:rPr>
        <w:t>o</w:t>
      </w:r>
      <w:r w:rsidR="005F29CA" w:rsidRPr="005D3CD5">
        <w:rPr>
          <w:lang w:val="fr-FR"/>
        </w:rPr>
        <w:t> 238</w:t>
      </w:r>
      <w:r w:rsidR="001A6F85" w:rsidRPr="005D3CD5">
        <w:rPr>
          <w:lang w:val="fr-FR"/>
        </w:rPr>
        <w:t xml:space="preserve">, </w:t>
      </w:r>
      <w:r w:rsidR="001A6F85" w:rsidRPr="005D3CD5">
        <w:rPr>
          <w:i/>
          <w:lang w:val="fr-FR"/>
        </w:rPr>
        <w:t>Amuur</w:t>
      </w:r>
      <w:r w:rsidR="005F29CA" w:rsidRPr="005D3CD5">
        <w:rPr>
          <w:lang w:val="fr-FR"/>
        </w:rPr>
        <w:t xml:space="preserve">, </w:t>
      </w:r>
      <w:r w:rsidR="001A6F85" w:rsidRPr="005D3CD5">
        <w:rPr>
          <w:lang w:val="fr-FR"/>
        </w:rPr>
        <w:t xml:space="preserve">précité, </w:t>
      </w:r>
      <w:r w:rsidR="005F29CA" w:rsidRPr="005D3CD5">
        <w:rPr>
          <w:i/>
          <w:lang w:val="fr-FR"/>
        </w:rPr>
        <w:t>ibidem</w:t>
      </w:r>
      <w:r w:rsidR="005F29CA" w:rsidRPr="005D3CD5">
        <w:rPr>
          <w:lang w:val="fr-FR"/>
        </w:rPr>
        <w:t xml:space="preserve">, </w:t>
      </w:r>
      <w:r w:rsidR="001A6F85" w:rsidRPr="005D3CD5">
        <w:rPr>
          <w:i/>
          <w:lang w:val="fr-FR"/>
        </w:rPr>
        <w:t>Dalban c. Roumanie</w:t>
      </w:r>
      <w:r w:rsidR="001A6F85" w:rsidRPr="005D3CD5">
        <w:rPr>
          <w:lang w:val="fr-FR"/>
        </w:rPr>
        <w:t xml:space="preserve"> [GC], n</w:t>
      </w:r>
      <w:r w:rsidR="001A6F85" w:rsidRPr="005D3CD5">
        <w:rPr>
          <w:vertAlign w:val="superscript"/>
          <w:lang w:val="fr-FR"/>
        </w:rPr>
        <w:t>o</w:t>
      </w:r>
      <w:r w:rsidR="00082A91" w:rsidRPr="005D3CD5">
        <w:rPr>
          <w:lang w:val="fr-FR"/>
        </w:rPr>
        <w:t>28114/95</w:t>
      </w:r>
      <w:r w:rsidR="001A6F85" w:rsidRPr="005D3CD5">
        <w:rPr>
          <w:lang w:val="fr-FR"/>
        </w:rPr>
        <w:t>, §</w:t>
      </w:r>
      <w:r w:rsidR="005F29CA" w:rsidRPr="005D3CD5">
        <w:rPr>
          <w:lang w:val="fr-FR"/>
        </w:rPr>
        <w:t> </w:t>
      </w:r>
      <w:r w:rsidR="001A6F85" w:rsidRPr="005D3CD5">
        <w:rPr>
          <w:lang w:val="fr-FR"/>
        </w:rPr>
        <w:t xml:space="preserve">44, CEDH 1999-VI, </w:t>
      </w:r>
      <w:r w:rsidR="001A6F85" w:rsidRPr="005D3CD5">
        <w:rPr>
          <w:i/>
          <w:lang w:val="fr-FR"/>
        </w:rPr>
        <w:t>Labita c. Italie</w:t>
      </w:r>
      <w:r w:rsidR="001A6F85" w:rsidRPr="005D3CD5">
        <w:rPr>
          <w:lang w:val="fr-FR"/>
        </w:rPr>
        <w:t xml:space="preserve"> [GC], n</w:t>
      </w:r>
      <w:r w:rsidR="001A6F85" w:rsidRPr="005D3CD5">
        <w:rPr>
          <w:vertAlign w:val="superscript"/>
          <w:lang w:val="fr-FR"/>
        </w:rPr>
        <w:t>o</w:t>
      </w:r>
      <w:r w:rsidR="00082A91" w:rsidRPr="005D3CD5">
        <w:rPr>
          <w:lang w:val="fr-FR"/>
        </w:rPr>
        <w:t>26772/95</w:t>
      </w:r>
      <w:r w:rsidR="005D3CD5" w:rsidRPr="005D3CD5">
        <w:rPr>
          <w:lang w:val="fr-FR"/>
        </w:rPr>
        <w:t>, § 142, CEDH </w:t>
      </w:r>
      <w:r w:rsidR="001A6F85" w:rsidRPr="005D3CD5">
        <w:rPr>
          <w:lang w:val="fr-FR"/>
        </w:rPr>
        <w:t xml:space="preserve">2000-IV et </w:t>
      </w:r>
      <w:r w:rsidR="001A6F85" w:rsidRPr="005D3CD5">
        <w:rPr>
          <w:i/>
          <w:lang w:val="fr-FR"/>
        </w:rPr>
        <w:t>Guisset</w:t>
      </w:r>
      <w:r w:rsidR="005F29CA" w:rsidRPr="005D3CD5">
        <w:rPr>
          <w:lang w:val="fr-FR"/>
        </w:rPr>
        <w:t xml:space="preserve">, </w:t>
      </w:r>
      <w:r w:rsidR="001A6F85" w:rsidRPr="005D3CD5">
        <w:rPr>
          <w:lang w:val="fr-FR"/>
        </w:rPr>
        <w:t xml:space="preserve">précité, </w:t>
      </w:r>
      <w:r w:rsidR="005F29CA" w:rsidRPr="005D3CD5">
        <w:rPr>
          <w:i/>
          <w:lang w:val="fr-FR"/>
        </w:rPr>
        <w:t>ibidem</w:t>
      </w:r>
      <w:r w:rsidR="001A6F85" w:rsidRPr="005D3CD5">
        <w:rPr>
          <w:lang w:val="fr-FR"/>
        </w:rPr>
        <w:t xml:space="preserve">, ainsi que les décisions </w:t>
      </w:r>
      <w:r w:rsidR="001A6F85" w:rsidRPr="005D3CD5">
        <w:rPr>
          <w:i/>
          <w:lang w:val="fr-FR"/>
        </w:rPr>
        <w:t>Achour c.</w:t>
      </w:r>
      <w:r w:rsidR="005F29CA" w:rsidRPr="005D3CD5">
        <w:rPr>
          <w:i/>
          <w:lang w:val="fr-FR"/>
        </w:rPr>
        <w:t> </w:t>
      </w:r>
      <w:r w:rsidR="003E54FB" w:rsidRPr="005D3CD5">
        <w:rPr>
          <w:i/>
          <w:lang w:val="fr-FR"/>
        </w:rPr>
        <w:t> France</w:t>
      </w:r>
      <w:r w:rsidR="003E54FB" w:rsidRPr="005D3CD5">
        <w:rPr>
          <w:lang w:val="fr-FR"/>
        </w:rPr>
        <w:t xml:space="preserve">, </w:t>
      </w:r>
      <w:r w:rsidR="001A6F85" w:rsidRPr="005D3CD5">
        <w:rPr>
          <w:lang w:val="fr-FR"/>
        </w:rPr>
        <w:t>n</w:t>
      </w:r>
      <w:r w:rsidR="001A6F85" w:rsidRPr="005D3CD5">
        <w:rPr>
          <w:vertAlign w:val="superscript"/>
          <w:lang w:val="fr-FR"/>
        </w:rPr>
        <w:t>o</w:t>
      </w:r>
      <w:r w:rsidR="00082A91" w:rsidRPr="005D3CD5">
        <w:rPr>
          <w:vertAlign w:val="superscript"/>
          <w:lang w:val="fr-FR"/>
        </w:rPr>
        <w:t xml:space="preserve"> </w:t>
      </w:r>
      <w:r w:rsidR="00082A91" w:rsidRPr="005D3CD5">
        <w:rPr>
          <w:lang w:val="fr-FR"/>
        </w:rPr>
        <w:t>67335/01</w:t>
      </w:r>
      <w:r w:rsidR="001A6F85" w:rsidRPr="005D3CD5">
        <w:rPr>
          <w:lang w:val="fr-FR"/>
        </w:rPr>
        <w:t xml:space="preserve">, </w:t>
      </w:r>
      <w:r w:rsidR="003E54FB" w:rsidRPr="005D3CD5">
        <w:rPr>
          <w:lang w:val="fr-FR"/>
        </w:rPr>
        <w:t>10 novembre 2004,</w:t>
      </w:r>
      <w:r w:rsidR="001A6F85" w:rsidRPr="005D3CD5">
        <w:rPr>
          <w:lang w:val="fr-FR"/>
        </w:rPr>
        <w:t xml:space="preserve"> et </w:t>
      </w:r>
      <w:r w:rsidR="001A6F85" w:rsidRPr="005D3CD5">
        <w:rPr>
          <w:i/>
          <w:lang w:val="fr-FR"/>
        </w:rPr>
        <w:t>Kaftailova</w:t>
      </w:r>
      <w:r w:rsidR="003E54FB" w:rsidRPr="005D3CD5">
        <w:rPr>
          <w:lang w:val="fr-FR"/>
        </w:rPr>
        <w:t>,</w:t>
      </w:r>
      <w:r w:rsidR="003E54FB" w:rsidRPr="005D3CD5">
        <w:rPr>
          <w:i/>
          <w:lang w:val="fr-FR"/>
        </w:rPr>
        <w:t xml:space="preserve"> </w:t>
      </w:r>
      <w:r w:rsidR="001A6F85" w:rsidRPr="005D3CD5">
        <w:rPr>
          <w:lang w:val="fr-FR"/>
        </w:rPr>
        <w:t>précitée).</w:t>
      </w:r>
    </w:p>
    <w:p w:rsidR="003F3B03" w:rsidRPr="005D3CD5" w:rsidRDefault="003F3B03"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50</w:t>
      </w:r>
      <w:r w:rsidRPr="005D3CD5">
        <w:rPr>
          <w:lang w:val="fr-FR"/>
        </w:rPr>
        <w:fldChar w:fldCharType="end"/>
      </w:r>
      <w:r w:rsidRPr="005D3CD5">
        <w:rPr>
          <w:lang w:val="fr-FR"/>
        </w:rPr>
        <w:t>.  </w:t>
      </w:r>
      <w:r w:rsidR="0070526F" w:rsidRPr="005D3CD5">
        <w:rPr>
          <w:lang w:val="fr-FR"/>
        </w:rPr>
        <w:t>Sur ce point, se tournant vers les faits de</w:t>
      </w:r>
      <w:r w:rsidR="00202DC4" w:rsidRPr="005D3CD5">
        <w:rPr>
          <w:lang w:val="fr-FR"/>
        </w:rPr>
        <w:t xml:space="preserve"> l</w:t>
      </w:r>
      <w:r w:rsidR="005D3CD5" w:rsidRPr="005D3CD5">
        <w:rPr>
          <w:lang w:val="fr-FR"/>
        </w:rPr>
        <w:t>’</w:t>
      </w:r>
      <w:r w:rsidR="00202DC4" w:rsidRPr="005D3CD5">
        <w:rPr>
          <w:lang w:val="fr-FR"/>
        </w:rPr>
        <w:t>espèce, l</w:t>
      </w:r>
      <w:r w:rsidR="001A6F85" w:rsidRPr="005D3CD5">
        <w:rPr>
          <w:lang w:val="fr-FR"/>
        </w:rPr>
        <w:t xml:space="preserve">a Cour considère que </w:t>
      </w:r>
      <w:r w:rsidR="00A46BDD" w:rsidRPr="005D3CD5">
        <w:rPr>
          <w:lang w:val="fr-FR"/>
        </w:rPr>
        <w:t>la reconnaissance</w:t>
      </w:r>
      <w:r w:rsidR="00332E57" w:rsidRPr="005D3CD5">
        <w:rPr>
          <w:lang w:val="fr-FR"/>
        </w:rPr>
        <w:t xml:space="preserve"> par la Cour de cassation de </w:t>
      </w:r>
      <w:r w:rsidR="0012663C" w:rsidRPr="005D3CD5">
        <w:rPr>
          <w:lang w:val="fr-FR"/>
        </w:rPr>
        <w:t>l</w:t>
      </w:r>
      <w:r w:rsidR="005D3CD5" w:rsidRPr="005D3CD5">
        <w:rPr>
          <w:lang w:val="fr-FR"/>
        </w:rPr>
        <w:t>’</w:t>
      </w:r>
      <w:r w:rsidRPr="005D3CD5">
        <w:rPr>
          <w:lang w:val="fr-FR"/>
        </w:rPr>
        <w:t>irrégularité</w:t>
      </w:r>
      <w:r w:rsidR="001A6F85" w:rsidRPr="005D3CD5">
        <w:rPr>
          <w:lang w:val="fr-FR"/>
        </w:rPr>
        <w:t xml:space="preserve"> de la prolongation de la </w:t>
      </w:r>
      <w:r w:rsidR="00332E57" w:rsidRPr="005D3CD5">
        <w:rPr>
          <w:lang w:val="fr-FR"/>
        </w:rPr>
        <w:t>détention</w:t>
      </w:r>
      <w:r w:rsidR="001A6F85" w:rsidRPr="005D3CD5">
        <w:rPr>
          <w:lang w:val="fr-FR"/>
        </w:rPr>
        <w:t xml:space="preserve"> </w:t>
      </w:r>
      <w:r w:rsidR="00202DC4" w:rsidRPr="005D3CD5">
        <w:rPr>
          <w:lang w:val="fr-FR"/>
        </w:rPr>
        <w:t xml:space="preserve">litigieuse </w:t>
      </w:r>
      <w:r w:rsidR="001A6F85" w:rsidRPr="005D3CD5">
        <w:rPr>
          <w:lang w:val="fr-FR"/>
        </w:rPr>
        <w:t>ne constitue pas une réparation suffisante</w:t>
      </w:r>
      <w:r w:rsidR="00321052" w:rsidRPr="005D3CD5">
        <w:rPr>
          <w:lang w:val="fr-FR"/>
        </w:rPr>
        <w:t xml:space="preserve"> </w:t>
      </w:r>
      <w:r w:rsidR="0070526F" w:rsidRPr="005D3CD5">
        <w:rPr>
          <w:lang w:val="fr-FR"/>
        </w:rPr>
        <w:t>puisqu</w:t>
      </w:r>
      <w:r w:rsidR="005D3CD5" w:rsidRPr="005D3CD5">
        <w:rPr>
          <w:lang w:val="fr-FR"/>
        </w:rPr>
        <w:t>’</w:t>
      </w:r>
      <w:r w:rsidR="0070526F" w:rsidRPr="005D3CD5">
        <w:rPr>
          <w:lang w:val="fr-FR"/>
        </w:rPr>
        <w:t>elle n</w:t>
      </w:r>
      <w:r w:rsidR="005D3CD5" w:rsidRPr="005D3CD5">
        <w:rPr>
          <w:lang w:val="fr-FR"/>
        </w:rPr>
        <w:t>’</w:t>
      </w:r>
      <w:r w:rsidR="0070526F" w:rsidRPr="005D3CD5">
        <w:rPr>
          <w:lang w:val="fr-FR"/>
        </w:rPr>
        <w:t>a pas permis aux</w:t>
      </w:r>
      <w:r w:rsidR="001A6F85" w:rsidRPr="005D3CD5">
        <w:rPr>
          <w:lang w:val="fr-FR"/>
        </w:rPr>
        <w:t xml:space="preserve"> requérants</w:t>
      </w:r>
      <w:r w:rsidRPr="005D3CD5">
        <w:rPr>
          <w:lang w:val="fr-FR"/>
        </w:rPr>
        <w:t xml:space="preserve"> </w:t>
      </w:r>
      <w:r w:rsidR="0070526F" w:rsidRPr="005D3CD5">
        <w:rPr>
          <w:lang w:val="fr-FR"/>
        </w:rPr>
        <w:t>d</w:t>
      </w:r>
      <w:r w:rsidR="005D3CD5" w:rsidRPr="005D3CD5">
        <w:rPr>
          <w:lang w:val="fr-FR"/>
        </w:rPr>
        <w:t>’</w:t>
      </w:r>
      <w:r w:rsidRPr="005D3CD5">
        <w:rPr>
          <w:lang w:val="fr-FR"/>
        </w:rPr>
        <w:t>obten</w:t>
      </w:r>
      <w:r w:rsidR="0070526F" w:rsidRPr="005D3CD5">
        <w:rPr>
          <w:lang w:val="fr-FR"/>
        </w:rPr>
        <w:t>ir</w:t>
      </w:r>
      <w:r w:rsidRPr="005D3CD5">
        <w:rPr>
          <w:lang w:val="fr-FR"/>
        </w:rPr>
        <w:t xml:space="preserve"> un redre</w:t>
      </w:r>
      <w:r w:rsidR="0012663C" w:rsidRPr="005D3CD5">
        <w:rPr>
          <w:lang w:val="fr-FR"/>
        </w:rPr>
        <w:t>ssement approprié.</w:t>
      </w:r>
    </w:p>
    <w:p w:rsidR="009F210B" w:rsidRPr="005D3CD5" w:rsidRDefault="003F3B03"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51</w:t>
      </w:r>
      <w:r w:rsidRPr="005D3CD5">
        <w:rPr>
          <w:lang w:val="fr-FR"/>
        </w:rPr>
        <w:fldChar w:fldCharType="end"/>
      </w:r>
      <w:r w:rsidRPr="005D3CD5">
        <w:rPr>
          <w:lang w:val="fr-FR"/>
        </w:rPr>
        <w:t>.  </w:t>
      </w:r>
      <w:r w:rsidR="00202DC4" w:rsidRPr="005D3CD5">
        <w:rPr>
          <w:lang w:val="fr-FR"/>
        </w:rPr>
        <w:t>À</w:t>
      </w:r>
      <w:r w:rsidRPr="005D3CD5">
        <w:rPr>
          <w:lang w:val="fr-FR"/>
        </w:rPr>
        <w:t xml:space="preserve"> la lumière de ce qui précède, la Cour estime que les requérants peuvent encore se prétendre victimes d</w:t>
      </w:r>
      <w:r w:rsidR="005D3CD5" w:rsidRPr="005D3CD5">
        <w:rPr>
          <w:lang w:val="fr-FR"/>
        </w:rPr>
        <w:t>’</w:t>
      </w:r>
      <w:r w:rsidRPr="005D3CD5">
        <w:rPr>
          <w:lang w:val="fr-FR"/>
        </w:rPr>
        <w:t>une violation de l</w:t>
      </w:r>
      <w:r w:rsidR="005D3CD5" w:rsidRPr="005D3CD5">
        <w:rPr>
          <w:lang w:val="fr-FR"/>
        </w:rPr>
        <w:t>’</w:t>
      </w:r>
      <w:r w:rsidRPr="005D3CD5">
        <w:rPr>
          <w:lang w:val="fr-FR"/>
        </w:rPr>
        <w:t xml:space="preserve">article 5 </w:t>
      </w:r>
      <w:r w:rsidR="00336E98" w:rsidRPr="005D3CD5">
        <w:rPr>
          <w:lang w:val="fr-FR"/>
        </w:rPr>
        <w:t xml:space="preserve">§ 1 f) </w:t>
      </w:r>
      <w:r w:rsidRPr="005D3CD5">
        <w:rPr>
          <w:lang w:val="fr-FR"/>
        </w:rPr>
        <w:t xml:space="preserve">de </w:t>
      </w:r>
      <w:r w:rsidRPr="005D3CD5">
        <w:rPr>
          <w:lang w:val="fr-FR"/>
        </w:rPr>
        <w:lastRenderedPageBreak/>
        <w:t>la Convention. Elle rejette donc l</w:t>
      </w:r>
      <w:r w:rsidR="005D3CD5" w:rsidRPr="005D3CD5">
        <w:rPr>
          <w:lang w:val="fr-FR"/>
        </w:rPr>
        <w:t>’</w:t>
      </w:r>
      <w:r w:rsidRPr="005D3CD5">
        <w:rPr>
          <w:lang w:val="fr-FR"/>
        </w:rPr>
        <w:t>exception soulevée par le Gouvernement à cet égard.</w:t>
      </w:r>
    </w:p>
    <w:p w:rsidR="00156598" w:rsidRPr="005D3CD5" w:rsidRDefault="002A47BA" w:rsidP="005D3CD5">
      <w:pPr>
        <w:pStyle w:val="ECHRPara"/>
        <w:rPr>
          <w:lang w:val="fr-FR"/>
        </w:rPr>
      </w:pPr>
      <w:r w:rsidRPr="005D3CD5">
        <w:rPr>
          <w:lang w:val="fr-FR"/>
        </w:rPr>
        <w:t>C</w:t>
      </w:r>
      <w:r w:rsidR="003F3B03" w:rsidRPr="005D3CD5">
        <w:rPr>
          <w:lang w:val="fr-FR"/>
        </w:rPr>
        <w:t>onstat</w:t>
      </w:r>
      <w:r w:rsidRPr="005D3CD5">
        <w:rPr>
          <w:lang w:val="fr-FR"/>
        </w:rPr>
        <w:t>ant</w:t>
      </w:r>
      <w:r w:rsidR="003F3B03" w:rsidRPr="005D3CD5">
        <w:rPr>
          <w:lang w:val="fr-FR"/>
        </w:rPr>
        <w:t xml:space="preserve"> également que la requête n</w:t>
      </w:r>
      <w:r w:rsidR="005D3CD5" w:rsidRPr="005D3CD5">
        <w:rPr>
          <w:lang w:val="fr-FR"/>
        </w:rPr>
        <w:t>’</w:t>
      </w:r>
      <w:r w:rsidR="003F3B03" w:rsidRPr="005D3CD5">
        <w:rPr>
          <w:lang w:val="fr-FR"/>
        </w:rPr>
        <w:t>est pas manifestement mal fondée au sens de l</w:t>
      </w:r>
      <w:r w:rsidR="005D3CD5" w:rsidRPr="005D3CD5">
        <w:rPr>
          <w:lang w:val="fr-FR"/>
        </w:rPr>
        <w:t>’</w:t>
      </w:r>
      <w:r w:rsidR="003F3B03" w:rsidRPr="005D3CD5">
        <w:rPr>
          <w:lang w:val="fr-FR"/>
        </w:rPr>
        <w:t>article 35 § 3 de la Convention</w:t>
      </w:r>
      <w:r w:rsidRPr="005D3CD5">
        <w:rPr>
          <w:lang w:val="fr-FR"/>
        </w:rPr>
        <w:t xml:space="preserve"> et qu</w:t>
      </w:r>
      <w:r w:rsidR="005D3CD5" w:rsidRPr="005D3CD5">
        <w:rPr>
          <w:lang w:val="fr-FR"/>
        </w:rPr>
        <w:t>’</w:t>
      </w:r>
      <w:r w:rsidR="003F3B03" w:rsidRPr="005D3CD5">
        <w:rPr>
          <w:lang w:val="fr-FR"/>
        </w:rPr>
        <w:t>elle ne se heurte à aucun autre motif d</w:t>
      </w:r>
      <w:r w:rsidR="005D3CD5" w:rsidRPr="005D3CD5">
        <w:rPr>
          <w:lang w:val="fr-FR"/>
        </w:rPr>
        <w:t>’</w:t>
      </w:r>
      <w:r w:rsidR="003F3B03" w:rsidRPr="005D3CD5">
        <w:rPr>
          <w:lang w:val="fr-FR"/>
        </w:rPr>
        <w:t>irrecevabilité</w:t>
      </w:r>
      <w:r w:rsidRPr="005D3CD5">
        <w:rPr>
          <w:lang w:val="fr-FR"/>
        </w:rPr>
        <w:t>, la Cour</w:t>
      </w:r>
      <w:r w:rsidR="003F3B03" w:rsidRPr="005D3CD5">
        <w:rPr>
          <w:lang w:val="fr-FR"/>
        </w:rPr>
        <w:t xml:space="preserve"> la déclare recevable.</w:t>
      </w:r>
    </w:p>
    <w:p w:rsidR="00E60556" w:rsidRPr="005D3CD5" w:rsidRDefault="00BD564A" w:rsidP="005D3CD5">
      <w:pPr>
        <w:pStyle w:val="ECHRHeading2"/>
        <w:rPr>
          <w:lang w:val="fr-FR"/>
        </w:rPr>
      </w:pPr>
      <w:r w:rsidRPr="005D3CD5">
        <w:rPr>
          <w:lang w:val="fr-FR"/>
        </w:rPr>
        <w:t>B.  </w:t>
      </w:r>
      <w:r w:rsidR="00E60556" w:rsidRPr="005D3CD5">
        <w:rPr>
          <w:lang w:val="fr-FR"/>
        </w:rPr>
        <w:t>Sur le fond</w:t>
      </w:r>
    </w:p>
    <w:p w:rsidR="00E60556" w:rsidRPr="005D3CD5" w:rsidRDefault="00E60556" w:rsidP="005D3CD5">
      <w:pPr>
        <w:pStyle w:val="ECHRHeading3"/>
        <w:rPr>
          <w:lang w:val="fr-FR"/>
        </w:rPr>
      </w:pPr>
      <w:r w:rsidRPr="005D3CD5">
        <w:rPr>
          <w:lang w:val="fr-FR"/>
        </w:rPr>
        <w:t>1.</w:t>
      </w:r>
      <w:r w:rsidR="00DE6131" w:rsidRPr="005D3CD5">
        <w:rPr>
          <w:lang w:val="fr-FR"/>
        </w:rPr>
        <w:t>  </w:t>
      </w:r>
      <w:r w:rsidRPr="005D3CD5">
        <w:rPr>
          <w:lang w:val="fr-FR"/>
        </w:rPr>
        <w:t>Arguments des parties</w:t>
      </w:r>
      <w:r w:rsidR="009D7B9E" w:rsidRPr="005D3CD5">
        <w:rPr>
          <w:lang w:val="fr-FR"/>
        </w:rPr>
        <w:t xml:space="preserve"> et observations du tiers intervenant</w:t>
      </w:r>
    </w:p>
    <w:p w:rsidR="00E60556" w:rsidRPr="005D3CD5" w:rsidRDefault="00E60556" w:rsidP="005D3CD5">
      <w:pPr>
        <w:pStyle w:val="ECHRHeading4"/>
        <w:rPr>
          <w:lang w:val="fr-FR"/>
        </w:rPr>
      </w:pPr>
      <w:r w:rsidRPr="005D3CD5">
        <w:rPr>
          <w:lang w:val="fr-FR"/>
        </w:rPr>
        <w:t>a)</w:t>
      </w:r>
      <w:r w:rsidR="00B120E7" w:rsidRPr="005D3CD5">
        <w:rPr>
          <w:lang w:val="fr-FR"/>
        </w:rPr>
        <w:t>  </w:t>
      </w:r>
      <w:r w:rsidRPr="005D3CD5">
        <w:rPr>
          <w:lang w:val="fr-FR"/>
        </w:rPr>
        <w:t>Les requérants</w:t>
      </w:r>
    </w:p>
    <w:p w:rsidR="00892C43" w:rsidRPr="005D3CD5" w:rsidRDefault="00D70E68"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52</w:t>
      </w:r>
      <w:r w:rsidRPr="005D3CD5">
        <w:rPr>
          <w:rFonts w:eastAsiaTheme="minorHAnsi"/>
          <w:lang w:val="fr-FR"/>
        </w:rPr>
        <w:fldChar w:fldCharType="end"/>
      </w:r>
      <w:r w:rsidRPr="005D3CD5">
        <w:rPr>
          <w:rFonts w:eastAsiaTheme="minorHAnsi"/>
          <w:lang w:val="fr-FR"/>
        </w:rPr>
        <w:t>.  </w:t>
      </w:r>
      <w:r w:rsidR="00892C43" w:rsidRPr="005D3CD5">
        <w:rPr>
          <w:rFonts w:eastAsiaTheme="minorHAnsi"/>
          <w:lang w:val="fr-FR"/>
        </w:rPr>
        <w:t xml:space="preserve">Les requérants </w:t>
      </w:r>
      <w:r w:rsidR="00321052" w:rsidRPr="005D3CD5">
        <w:rPr>
          <w:rFonts w:eastAsiaTheme="minorHAnsi"/>
          <w:lang w:val="fr-FR"/>
        </w:rPr>
        <w:t>indiqu</w:t>
      </w:r>
      <w:r w:rsidR="00892C43" w:rsidRPr="005D3CD5">
        <w:rPr>
          <w:rFonts w:eastAsiaTheme="minorHAnsi"/>
          <w:lang w:val="fr-FR"/>
        </w:rPr>
        <w:t xml:space="preserve">ent </w:t>
      </w:r>
      <w:r w:rsidR="00332E57" w:rsidRPr="005D3CD5">
        <w:rPr>
          <w:rFonts w:eastAsiaTheme="minorHAnsi"/>
          <w:lang w:val="fr-FR"/>
        </w:rPr>
        <w:t>qu</w:t>
      </w:r>
      <w:r w:rsidR="005D3CD5" w:rsidRPr="005D3CD5">
        <w:rPr>
          <w:rFonts w:eastAsiaTheme="minorHAnsi"/>
          <w:lang w:val="fr-FR"/>
        </w:rPr>
        <w:t>’</w:t>
      </w:r>
      <w:r w:rsidR="00332E57" w:rsidRPr="005D3CD5">
        <w:rPr>
          <w:rFonts w:eastAsiaTheme="minorHAnsi"/>
          <w:lang w:val="fr-FR"/>
        </w:rPr>
        <w:t>ils ont</w:t>
      </w:r>
      <w:r w:rsidR="009E2D9C" w:rsidRPr="005D3CD5">
        <w:rPr>
          <w:rFonts w:eastAsiaTheme="minorHAnsi"/>
          <w:lang w:val="fr-FR"/>
        </w:rPr>
        <w:t xml:space="preserve"> été</w:t>
      </w:r>
      <w:r w:rsidR="00892C43" w:rsidRPr="005D3CD5">
        <w:rPr>
          <w:rFonts w:eastAsiaTheme="minorHAnsi"/>
          <w:lang w:val="fr-FR"/>
        </w:rPr>
        <w:t xml:space="preserve"> détenus dans le cadre </w:t>
      </w:r>
      <w:r w:rsidRPr="005D3CD5">
        <w:rPr>
          <w:rFonts w:eastAsiaTheme="minorHAnsi"/>
          <w:lang w:val="fr-FR"/>
        </w:rPr>
        <w:t>d</w:t>
      </w:r>
      <w:r w:rsidR="005D3CD5" w:rsidRPr="005D3CD5">
        <w:rPr>
          <w:rFonts w:eastAsiaTheme="minorHAnsi"/>
          <w:lang w:val="fr-FR"/>
        </w:rPr>
        <w:t>’</w:t>
      </w:r>
      <w:r w:rsidRPr="005D3CD5">
        <w:rPr>
          <w:rFonts w:eastAsiaTheme="minorHAnsi"/>
          <w:lang w:val="fr-FR"/>
        </w:rPr>
        <w:t>une</w:t>
      </w:r>
      <w:r w:rsidR="00892C43" w:rsidRPr="005D3CD5">
        <w:rPr>
          <w:rFonts w:eastAsiaTheme="minorHAnsi"/>
          <w:lang w:val="fr-FR"/>
        </w:rPr>
        <w:t xml:space="preserve"> procédure de reconduite à la frontière</w:t>
      </w:r>
      <w:r w:rsidR="005D1F64" w:rsidRPr="005D3CD5">
        <w:rPr>
          <w:rFonts w:eastAsiaTheme="minorHAnsi"/>
          <w:lang w:val="fr-FR"/>
        </w:rPr>
        <w:t xml:space="preserve"> et que celle-ci est</w:t>
      </w:r>
      <w:r w:rsidR="00321052" w:rsidRPr="005D3CD5">
        <w:rPr>
          <w:rFonts w:eastAsiaTheme="minorHAnsi"/>
          <w:lang w:val="fr-FR"/>
        </w:rPr>
        <w:t xml:space="preserve"> actuellement pendante</w:t>
      </w:r>
      <w:r w:rsidR="00892C43" w:rsidRPr="005D3CD5">
        <w:rPr>
          <w:rFonts w:eastAsiaTheme="minorHAnsi"/>
          <w:lang w:val="fr-FR"/>
        </w:rPr>
        <w:t xml:space="preserve">. Ils </w:t>
      </w:r>
      <w:r w:rsidR="00321052" w:rsidRPr="005D3CD5">
        <w:rPr>
          <w:rFonts w:eastAsiaTheme="minorHAnsi"/>
          <w:lang w:val="fr-FR"/>
        </w:rPr>
        <w:t>ajoutent</w:t>
      </w:r>
      <w:r w:rsidR="00892C43" w:rsidRPr="005D3CD5">
        <w:rPr>
          <w:rFonts w:eastAsiaTheme="minorHAnsi"/>
          <w:lang w:val="fr-FR"/>
        </w:rPr>
        <w:t xml:space="preserve"> que la Cour de cassation a annulé la prolongation de l</w:t>
      </w:r>
      <w:r w:rsidR="00321052" w:rsidRPr="005D3CD5">
        <w:rPr>
          <w:rFonts w:eastAsiaTheme="minorHAnsi"/>
          <w:lang w:val="fr-FR"/>
        </w:rPr>
        <w:t>eur</w:t>
      </w:r>
      <w:r w:rsidR="00892C43" w:rsidRPr="005D3CD5">
        <w:rPr>
          <w:rFonts w:eastAsiaTheme="minorHAnsi"/>
          <w:lang w:val="fr-FR"/>
        </w:rPr>
        <w:t xml:space="preserve"> détention</w:t>
      </w:r>
      <w:r w:rsidR="00321052" w:rsidRPr="005D3CD5">
        <w:rPr>
          <w:rFonts w:eastAsiaTheme="minorHAnsi"/>
          <w:lang w:val="fr-FR"/>
        </w:rPr>
        <w:t xml:space="preserve"> pour cause de non-respect d</w:t>
      </w:r>
      <w:r w:rsidR="00974684" w:rsidRPr="005D3CD5">
        <w:rPr>
          <w:rFonts w:eastAsiaTheme="minorHAnsi"/>
          <w:lang w:val="fr-FR"/>
        </w:rPr>
        <w:t>es</w:t>
      </w:r>
      <w:r w:rsidR="009E2D9C" w:rsidRPr="005D3CD5">
        <w:rPr>
          <w:rFonts w:eastAsiaTheme="minorHAnsi"/>
          <w:lang w:val="fr-FR"/>
        </w:rPr>
        <w:t xml:space="preserve"> principe</w:t>
      </w:r>
      <w:r w:rsidR="00974684" w:rsidRPr="005D3CD5">
        <w:rPr>
          <w:rFonts w:eastAsiaTheme="minorHAnsi"/>
          <w:lang w:val="fr-FR"/>
        </w:rPr>
        <w:t>s</w:t>
      </w:r>
      <w:r w:rsidR="009E2D9C" w:rsidRPr="005D3CD5">
        <w:rPr>
          <w:rFonts w:eastAsiaTheme="minorHAnsi"/>
          <w:lang w:val="fr-FR"/>
        </w:rPr>
        <w:t xml:space="preserve"> du procès équitable</w:t>
      </w:r>
      <w:r w:rsidR="00321052" w:rsidRPr="005D3CD5">
        <w:rPr>
          <w:rFonts w:eastAsiaTheme="minorHAnsi"/>
          <w:lang w:val="fr-FR"/>
        </w:rPr>
        <w:t>,</w:t>
      </w:r>
      <w:r w:rsidR="00892C43" w:rsidRPr="005D3CD5">
        <w:rPr>
          <w:rFonts w:eastAsiaTheme="minorHAnsi"/>
          <w:lang w:val="fr-FR"/>
        </w:rPr>
        <w:t xml:space="preserve"> mais </w:t>
      </w:r>
      <w:r w:rsidR="00321052" w:rsidRPr="005D3CD5">
        <w:rPr>
          <w:rFonts w:eastAsiaTheme="minorHAnsi"/>
          <w:lang w:val="fr-FR"/>
        </w:rPr>
        <w:t xml:space="preserve">que </w:t>
      </w:r>
      <w:r w:rsidR="00892C43" w:rsidRPr="005D3CD5">
        <w:rPr>
          <w:rFonts w:eastAsiaTheme="minorHAnsi"/>
          <w:lang w:val="fr-FR"/>
        </w:rPr>
        <w:t>son arrêt n</w:t>
      </w:r>
      <w:r w:rsidR="005D3CD5" w:rsidRPr="005D3CD5">
        <w:rPr>
          <w:rFonts w:eastAsiaTheme="minorHAnsi"/>
          <w:lang w:val="fr-FR"/>
        </w:rPr>
        <w:t>’</w:t>
      </w:r>
      <w:r w:rsidR="00892C43" w:rsidRPr="005D3CD5">
        <w:rPr>
          <w:rFonts w:eastAsiaTheme="minorHAnsi"/>
          <w:lang w:val="fr-FR"/>
        </w:rPr>
        <w:t>est intervenu qu</w:t>
      </w:r>
      <w:r w:rsidR="00321052" w:rsidRPr="005D3CD5">
        <w:rPr>
          <w:rFonts w:eastAsiaTheme="minorHAnsi"/>
          <w:lang w:val="fr-FR"/>
        </w:rPr>
        <w:t>e dix-huit</w:t>
      </w:r>
      <w:r w:rsidR="00892C43" w:rsidRPr="005D3CD5">
        <w:rPr>
          <w:rFonts w:eastAsiaTheme="minorHAnsi"/>
          <w:lang w:val="fr-FR"/>
        </w:rPr>
        <w:t xml:space="preserve"> mois </w:t>
      </w:r>
      <w:r w:rsidR="00321052" w:rsidRPr="005D3CD5">
        <w:rPr>
          <w:rFonts w:eastAsiaTheme="minorHAnsi"/>
          <w:lang w:val="fr-FR"/>
        </w:rPr>
        <w:t>après leur remise</w:t>
      </w:r>
      <w:r w:rsidR="00892C43" w:rsidRPr="005D3CD5">
        <w:rPr>
          <w:rFonts w:eastAsiaTheme="minorHAnsi"/>
          <w:lang w:val="fr-FR"/>
        </w:rPr>
        <w:t xml:space="preserve"> en liberté.</w:t>
      </w:r>
    </w:p>
    <w:p w:rsidR="00892C43" w:rsidRPr="005D3CD5" w:rsidRDefault="00D70E68"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53</w:t>
      </w:r>
      <w:r w:rsidRPr="005D3CD5">
        <w:rPr>
          <w:rFonts w:eastAsiaTheme="minorHAnsi"/>
          <w:lang w:val="fr-FR"/>
        </w:rPr>
        <w:fldChar w:fldCharType="end"/>
      </w:r>
      <w:r w:rsidRPr="005D3CD5">
        <w:rPr>
          <w:rFonts w:eastAsiaTheme="minorHAnsi"/>
          <w:lang w:val="fr-FR"/>
        </w:rPr>
        <w:t>.  </w:t>
      </w:r>
      <w:r w:rsidR="00321052" w:rsidRPr="005D3CD5">
        <w:rPr>
          <w:rFonts w:eastAsiaTheme="minorHAnsi"/>
          <w:lang w:val="fr-FR"/>
        </w:rPr>
        <w:t>Précisant que</w:t>
      </w:r>
      <w:r w:rsidR="00892C43" w:rsidRPr="005D3CD5">
        <w:rPr>
          <w:rFonts w:eastAsiaTheme="minorHAnsi"/>
          <w:lang w:val="fr-FR"/>
        </w:rPr>
        <w:t xml:space="preserve"> </w:t>
      </w:r>
      <w:r w:rsidR="00321052" w:rsidRPr="005D3CD5">
        <w:rPr>
          <w:rFonts w:eastAsiaTheme="minorHAnsi"/>
          <w:lang w:val="fr-FR"/>
        </w:rPr>
        <w:t xml:space="preserve">la demande de </w:t>
      </w:r>
      <w:r w:rsidR="00892C43" w:rsidRPr="005D3CD5">
        <w:rPr>
          <w:rFonts w:eastAsiaTheme="minorHAnsi"/>
          <w:lang w:val="fr-FR"/>
        </w:rPr>
        <w:t xml:space="preserve">prolongation </w:t>
      </w:r>
      <w:r w:rsidR="00321052" w:rsidRPr="005D3CD5">
        <w:rPr>
          <w:rFonts w:eastAsiaTheme="minorHAnsi"/>
          <w:lang w:val="fr-FR"/>
        </w:rPr>
        <w:t xml:space="preserve">de leur détention </w:t>
      </w:r>
      <w:r w:rsidR="00892C43" w:rsidRPr="005D3CD5">
        <w:rPr>
          <w:rFonts w:eastAsiaTheme="minorHAnsi"/>
          <w:lang w:val="fr-FR"/>
        </w:rPr>
        <w:t xml:space="preserve">avait été </w:t>
      </w:r>
      <w:r w:rsidR="00321052" w:rsidRPr="005D3CD5">
        <w:rPr>
          <w:rFonts w:eastAsiaTheme="minorHAnsi"/>
          <w:lang w:val="fr-FR"/>
        </w:rPr>
        <w:t xml:space="preserve">faite </w:t>
      </w:r>
      <w:r w:rsidR="00892C43" w:rsidRPr="005D3CD5">
        <w:rPr>
          <w:rFonts w:eastAsiaTheme="minorHAnsi"/>
          <w:lang w:val="fr-FR"/>
        </w:rPr>
        <w:t xml:space="preserve">afin de </w:t>
      </w:r>
      <w:r w:rsidR="00321052" w:rsidRPr="005D3CD5">
        <w:rPr>
          <w:rFonts w:eastAsiaTheme="minorHAnsi"/>
          <w:lang w:val="fr-FR"/>
        </w:rPr>
        <w:t>permettre</w:t>
      </w:r>
      <w:r w:rsidR="00826045" w:rsidRPr="005D3CD5">
        <w:rPr>
          <w:rFonts w:eastAsiaTheme="minorHAnsi"/>
          <w:lang w:val="fr-FR"/>
        </w:rPr>
        <w:t xml:space="preserve"> leur identification</w:t>
      </w:r>
      <w:r w:rsidR="00892C43" w:rsidRPr="005D3CD5">
        <w:rPr>
          <w:rFonts w:eastAsiaTheme="minorHAnsi"/>
          <w:lang w:val="fr-FR"/>
        </w:rPr>
        <w:t xml:space="preserve"> avec l</w:t>
      </w:r>
      <w:r w:rsidR="005D3CD5" w:rsidRPr="005D3CD5">
        <w:rPr>
          <w:rFonts w:eastAsiaTheme="minorHAnsi"/>
          <w:lang w:val="fr-FR"/>
        </w:rPr>
        <w:t>’</w:t>
      </w:r>
      <w:r w:rsidR="00892C43" w:rsidRPr="005D3CD5">
        <w:rPr>
          <w:rFonts w:eastAsiaTheme="minorHAnsi"/>
          <w:lang w:val="fr-FR"/>
        </w:rPr>
        <w:t>aide de l</w:t>
      </w:r>
      <w:r w:rsidR="005D3CD5" w:rsidRPr="005D3CD5">
        <w:rPr>
          <w:rFonts w:eastAsiaTheme="minorHAnsi"/>
          <w:lang w:val="fr-FR"/>
        </w:rPr>
        <w:t>’</w:t>
      </w:r>
      <w:r w:rsidR="0022512A" w:rsidRPr="005D3CD5">
        <w:rPr>
          <w:rFonts w:eastAsiaTheme="minorHAnsi"/>
          <w:lang w:val="fr-FR"/>
        </w:rPr>
        <w:t>a</w:t>
      </w:r>
      <w:r w:rsidR="00892C43" w:rsidRPr="005D3CD5">
        <w:rPr>
          <w:rFonts w:eastAsiaTheme="minorHAnsi"/>
          <w:lang w:val="fr-FR"/>
        </w:rPr>
        <w:t xml:space="preserve">mbassade du </w:t>
      </w:r>
      <w:r w:rsidR="00826045" w:rsidRPr="005D3CD5">
        <w:rPr>
          <w:rFonts w:eastAsiaTheme="minorHAnsi"/>
          <w:lang w:val="fr-FR"/>
        </w:rPr>
        <w:t>Ghana</w:t>
      </w:r>
      <w:r w:rsidR="00321052" w:rsidRPr="005D3CD5">
        <w:rPr>
          <w:rFonts w:eastAsiaTheme="minorHAnsi"/>
          <w:lang w:val="fr-FR"/>
        </w:rPr>
        <w:t xml:space="preserve">, les requérants soutiennent que ladite </w:t>
      </w:r>
      <w:r w:rsidR="00B47678" w:rsidRPr="005D3CD5">
        <w:rPr>
          <w:rFonts w:eastAsiaTheme="minorHAnsi"/>
          <w:lang w:val="fr-FR"/>
        </w:rPr>
        <w:t>demande</w:t>
      </w:r>
      <w:r w:rsidR="00892C43" w:rsidRPr="005D3CD5">
        <w:rPr>
          <w:rFonts w:eastAsiaTheme="minorHAnsi"/>
          <w:lang w:val="fr-FR"/>
        </w:rPr>
        <w:t xml:space="preserve"> ne contenait</w:t>
      </w:r>
      <w:r w:rsidR="00442E8B" w:rsidRPr="005D3CD5">
        <w:rPr>
          <w:rFonts w:eastAsiaTheme="minorHAnsi"/>
          <w:lang w:val="fr-FR"/>
        </w:rPr>
        <w:t xml:space="preserve"> pas les </w:t>
      </w:r>
      <w:r w:rsidR="00B47678" w:rsidRPr="005D3CD5">
        <w:rPr>
          <w:rFonts w:eastAsiaTheme="minorHAnsi"/>
          <w:lang w:val="fr-FR"/>
        </w:rPr>
        <w:t>éléments</w:t>
      </w:r>
      <w:r w:rsidR="00442E8B" w:rsidRPr="005D3CD5">
        <w:rPr>
          <w:rFonts w:eastAsiaTheme="minorHAnsi"/>
          <w:lang w:val="fr-FR"/>
        </w:rPr>
        <w:t xml:space="preserve"> nécessaires à </w:t>
      </w:r>
      <w:r w:rsidR="0022512A" w:rsidRPr="005D3CD5">
        <w:rPr>
          <w:rFonts w:eastAsiaTheme="minorHAnsi"/>
          <w:lang w:val="fr-FR"/>
        </w:rPr>
        <w:t>cette fin</w:t>
      </w:r>
      <w:r w:rsidR="000D20EA" w:rsidRPr="005D3CD5">
        <w:rPr>
          <w:rFonts w:eastAsiaTheme="minorHAnsi"/>
          <w:lang w:val="fr-FR"/>
        </w:rPr>
        <w:t>.</w:t>
      </w:r>
    </w:p>
    <w:p w:rsidR="00442E8B" w:rsidRPr="005D3CD5" w:rsidRDefault="00826045"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54</w:t>
      </w:r>
      <w:r w:rsidRPr="005D3CD5">
        <w:rPr>
          <w:rFonts w:eastAsiaTheme="minorHAnsi"/>
          <w:lang w:val="fr-FR"/>
        </w:rPr>
        <w:fldChar w:fldCharType="end"/>
      </w:r>
      <w:r w:rsidRPr="005D3CD5">
        <w:rPr>
          <w:rFonts w:eastAsiaTheme="minorHAnsi"/>
          <w:lang w:val="fr-FR"/>
        </w:rPr>
        <w:t>.  </w:t>
      </w:r>
      <w:r w:rsidR="00405C60" w:rsidRPr="005D3CD5">
        <w:rPr>
          <w:rFonts w:eastAsiaTheme="minorHAnsi"/>
          <w:lang w:val="fr-FR"/>
        </w:rPr>
        <w:t>Ils</w:t>
      </w:r>
      <w:r w:rsidR="00442E8B" w:rsidRPr="005D3CD5">
        <w:rPr>
          <w:rFonts w:eastAsiaTheme="minorHAnsi"/>
          <w:lang w:val="fr-FR"/>
        </w:rPr>
        <w:t xml:space="preserve"> </w:t>
      </w:r>
      <w:r w:rsidR="0022512A" w:rsidRPr="005D3CD5">
        <w:rPr>
          <w:rFonts w:eastAsiaTheme="minorHAnsi"/>
          <w:lang w:val="fr-FR"/>
        </w:rPr>
        <w:t>indiquent</w:t>
      </w:r>
      <w:r w:rsidR="00BD1F73" w:rsidRPr="005D3CD5">
        <w:rPr>
          <w:rFonts w:eastAsiaTheme="minorHAnsi"/>
          <w:lang w:val="fr-FR"/>
        </w:rPr>
        <w:t xml:space="preserve"> </w:t>
      </w:r>
      <w:r w:rsidR="0022512A" w:rsidRPr="005D3CD5">
        <w:rPr>
          <w:rFonts w:eastAsiaTheme="minorHAnsi"/>
          <w:lang w:val="fr-FR"/>
        </w:rPr>
        <w:t xml:space="preserve">que, </w:t>
      </w:r>
      <w:r w:rsidR="000D20EA" w:rsidRPr="005D3CD5">
        <w:rPr>
          <w:rFonts w:eastAsiaTheme="minorHAnsi"/>
          <w:lang w:val="fr-FR"/>
        </w:rPr>
        <w:t xml:space="preserve">dans son arrêt </w:t>
      </w:r>
      <w:r w:rsidR="0022512A" w:rsidRPr="005D3CD5">
        <w:rPr>
          <w:rFonts w:eastAsiaTheme="minorHAnsi"/>
          <w:lang w:val="fr-FR"/>
        </w:rPr>
        <w:t xml:space="preserve">rendu </w:t>
      </w:r>
      <w:r w:rsidR="000D20EA" w:rsidRPr="005D3CD5">
        <w:rPr>
          <w:rFonts w:eastAsiaTheme="minorHAnsi"/>
          <w:lang w:val="fr-FR"/>
        </w:rPr>
        <w:t>dans l</w:t>
      </w:r>
      <w:r w:rsidR="005D3CD5" w:rsidRPr="005D3CD5">
        <w:rPr>
          <w:rFonts w:eastAsiaTheme="minorHAnsi"/>
          <w:lang w:val="fr-FR"/>
        </w:rPr>
        <w:t>’</w:t>
      </w:r>
      <w:r w:rsidR="000D20EA" w:rsidRPr="005D3CD5">
        <w:rPr>
          <w:rFonts w:eastAsiaTheme="minorHAnsi"/>
          <w:lang w:val="fr-FR"/>
        </w:rPr>
        <w:t xml:space="preserve">affaire </w:t>
      </w:r>
      <w:r w:rsidR="00BD1F73" w:rsidRPr="005D3CD5">
        <w:rPr>
          <w:rFonts w:eastAsiaTheme="minorHAnsi"/>
          <w:bCs/>
          <w:i/>
          <w:lang w:val="fr-FR"/>
        </w:rPr>
        <w:t>Bashir Mohamed Ali Mahdi</w:t>
      </w:r>
      <w:r w:rsidR="0022512A" w:rsidRPr="005D3CD5">
        <w:rPr>
          <w:rFonts w:eastAsiaTheme="minorHAnsi"/>
          <w:lang w:val="fr-FR"/>
        </w:rPr>
        <w:t>, la Cour de justice de l</w:t>
      </w:r>
      <w:r w:rsidR="005D3CD5" w:rsidRPr="005D3CD5">
        <w:rPr>
          <w:rFonts w:eastAsiaTheme="minorHAnsi"/>
          <w:lang w:val="fr-FR"/>
        </w:rPr>
        <w:t>’</w:t>
      </w:r>
      <w:r w:rsidR="0022512A" w:rsidRPr="005D3CD5">
        <w:rPr>
          <w:rFonts w:eastAsiaTheme="minorHAnsi"/>
          <w:lang w:val="fr-FR"/>
        </w:rPr>
        <w:t xml:space="preserve">Union européenne </w:t>
      </w:r>
      <w:r w:rsidR="00274585" w:rsidRPr="005D3CD5">
        <w:rPr>
          <w:rFonts w:eastAsiaTheme="minorHAnsi"/>
          <w:lang w:val="fr-FR"/>
        </w:rPr>
        <w:t xml:space="preserve">(CJUE) </w:t>
      </w:r>
      <w:r w:rsidR="00BD1F73" w:rsidRPr="005D3CD5">
        <w:rPr>
          <w:rFonts w:eastAsiaTheme="minorHAnsi"/>
          <w:lang w:val="fr-FR"/>
        </w:rPr>
        <w:t xml:space="preserve">a </w:t>
      </w:r>
      <w:r w:rsidR="00405C60" w:rsidRPr="005D3CD5">
        <w:rPr>
          <w:rFonts w:eastAsiaTheme="minorHAnsi"/>
          <w:lang w:val="fr-FR"/>
        </w:rPr>
        <w:t xml:space="preserve">affirmé que </w:t>
      </w:r>
      <w:r w:rsidRPr="005D3CD5">
        <w:rPr>
          <w:rFonts w:eastAsiaTheme="minorHAnsi"/>
          <w:iCs/>
          <w:lang w:val="fr-FR"/>
        </w:rPr>
        <w:t>toute prolongation d</w:t>
      </w:r>
      <w:r w:rsidR="005D3CD5" w:rsidRPr="005D3CD5">
        <w:rPr>
          <w:rFonts w:eastAsiaTheme="minorHAnsi"/>
          <w:iCs/>
          <w:lang w:val="fr-FR"/>
        </w:rPr>
        <w:t>’</w:t>
      </w:r>
      <w:r w:rsidR="005D1F64" w:rsidRPr="005D3CD5">
        <w:rPr>
          <w:rFonts w:eastAsiaTheme="minorHAnsi"/>
          <w:iCs/>
          <w:lang w:val="fr-FR"/>
        </w:rPr>
        <w:t>une</w:t>
      </w:r>
      <w:r w:rsidRPr="005D3CD5">
        <w:rPr>
          <w:rFonts w:eastAsiaTheme="minorHAnsi"/>
          <w:iCs/>
          <w:lang w:val="fr-FR"/>
        </w:rPr>
        <w:t xml:space="preserve"> rétention </w:t>
      </w:r>
      <w:r w:rsidR="0022512A" w:rsidRPr="005D3CD5">
        <w:rPr>
          <w:rFonts w:eastAsiaTheme="minorHAnsi"/>
          <w:iCs/>
          <w:lang w:val="fr-FR"/>
        </w:rPr>
        <w:t>devait</w:t>
      </w:r>
      <w:r w:rsidRPr="005D3CD5">
        <w:rPr>
          <w:rFonts w:eastAsiaTheme="minorHAnsi"/>
          <w:iCs/>
          <w:lang w:val="fr-FR"/>
        </w:rPr>
        <w:t xml:space="preserve"> faire l</w:t>
      </w:r>
      <w:r w:rsidR="005D3CD5" w:rsidRPr="005D3CD5">
        <w:rPr>
          <w:rFonts w:eastAsiaTheme="minorHAnsi"/>
          <w:iCs/>
          <w:lang w:val="fr-FR"/>
        </w:rPr>
        <w:t>’</w:t>
      </w:r>
      <w:r w:rsidRPr="005D3CD5">
        <w:rPr>
          <w:rFonts w:eastAsiaTheme="minorHAnsi"/>
          <w:iCs/>
          <w:lang w:val="fr-FR"/>
        </w:rPr>
        <w:t>objet d</w:t>
      </w:r>
      <w:r w:rsidR="005D3CD5" w:rsidRPr="005D3CD5">
        <w:rPr>
          <w:rFonts w:eastAsiaTheme="minorHAnsi"/>
          <w:iCs/>
          <w:lang w:val="fr-FR"/>
        </w:rPr>
        <w:t>’</w:t>
      </w:r>
      <w:r w:rsidRPr="005D3CD5">
        <w:rPr>
          <w:rFonts w:eastAsiaTheme="minorHAnsi"/>
          <w:iCs/>
          <w:lang w:val="fr-FR"/>
        </w:rPr>
        <w:t>un acte écrit motivé en droit et en fait</w:t>
      </w:r>
      <w:r w:rsidR="0022512A" w:rsidRPr="005D3CD5">
        <w:rPr>
          <w:rFonts w:eastAsiaTheme="minorHAnsi"/>
          <w:iCs/>
          <w:lang w:val="fr-FR"/>
        </w:rPr>
        <w:t xml:space="preserve"> et que</w:t>
      </w:r>
      <w:r w:rsidRPr="005D3CD5">
        <w:rPr>
          <w:rFonts w:eastAsiaTheme="minorHAnsi"/>
          <w:iCs/>
          <w:lang w:val="fr-FR"/>
        </w:rPr>
        <w:t xml:space="preserve"> cet acte deva</w:t>
      </w:r>
      <w:r w:rsidR="0022512A" w:rsidRPr="005D3CD5">
        <w:rPr>
          <w:rFonts w:eastAsiaTheme="minorHAnsi"/>
          <w:iCs/>
          <w:lang w:val="fr-FR"/>
        </w:rPr>
        <w:t>i</w:t>
      </w:r>
      <w:r w:rsidRPr="005D3CD5">
        <w:rPr>
          <w:rFonts w:eastAsiaTheme="minorHAnsi"/>
          <w:iCs/>
          <w:lang w:val="fr-FR"/>
        </w:rPr>
        <w:t xml:space="preserve">t </w:t>
      </w:r>
      <w:r w:rsidR="004A635E" w:rsidRPr="005D3CD5">
        <w:rPr>
          <w:rFonts w:eastAsiaTheme="minorHAnsi"/>
          <w:iCs/>
          <w:lang w:val="fr-FR"/>
        </w:rPr>
        <w:t xml:space="preserve">être soumis à </w:t>
      </w:r>
      <w:r w:rsidRPr="005D3CD5">
        <w:rPr>
          <w:rFonts w:eastAsiaTheme="minorHAnsi"/>
          <w:iCs/>
          <w:lang w:val="fr-FR"/>
        </w:rPr>
        <w:t xml:space="preserve">un contrôle de légalité </w:t>
      </w:r>
      <w:r w:rsidR="005D1F64" w:rsidRPr="005D3CD5">
        <w:rPr>
          <w:rFonts w:eastAsiaTheme="minorHAnsi"/>
          <w:iCs/>
          <w:lang w:val="fr-FR"/>
        </w:rPr>
        <w:t xml:space="preserve">exercé </w:t>
      </w:r>
      <w:r w:rsidRPr="005D3CD5">
        <w:rPr>
          <w:rFonts w:eastAsiaTheme="minorHAnsi"/>
          <w:iCs/>
          <w:lang w:val="fr-FR"/>
        </w:rPr>
        <w:t>par le pouvoir judiciaire</w:t>
      </w:r>
      <w:r w:rsidR="00405C60" w:rsidRPr="005D3CD5">
        <w:rPr>
          <w:rFonts w:eastAsiaTheme="minorHAnsi"/>
          <w:iCs/>
          <w:lang w:val="fr-FR"/>
        </w:rPr>
        <w:t>.</w:t>
      </w:r>
    </w:p>
    <w:p w:rsidR="00BD1F73" w:rsidRPr="005D3CD5" w:rsidRDefault="00D70E68" w:rsidP="005D3CD5">
      <w:pPr>
        <w:pStyle w:val="ECHRPara"/>
        <w:rPr>
          <w:i/>
          <w:szCs w:val="24"/>
          <w:lang w:val="fr-FR"/>
        </w:rPr>
      </w:pPr>
      <w:r w:rsidRPr="005D3CD5">
        <w:rPr>
          <w:rFonts w:ascii="Times New Roman" w:eastAsiaTheme="minorHAnsi" w:hAnsi="Times New Roman" w:cs="Times New Roman"/>
          <w:color w:val="000000"/>
          <w:szCs w:val="24"/>
          <w:lang w:val="fr-FR"/>
        </w:rPr>
        <w:fldChar w:fldCharType="begin"/>
      </w:r>
      <w:r w:rsidRPr="005D3CD5">
        <w:rPr>
          <w:rFonts w:ascii="Times New Roman" w:eastAsiaTheme="minorHAnsi" w:hAnsi="Times New Roman" w:cs="Times New Roman"/>
          <w:color w:val="000000"/>
          <w:szCs w:val="24"/>
          <w:lang w:val="fr-FR"/>
        </w:rPr>
        <w:instrText xml:space="preserve"> SEQ level0 \*arabic </w:instrText>
      </w:r>
      <w:r w:rsidRPr="005D3CD5">
        <w:rPr>
          <w:rFonts w:ascii="Times New Roman" w:eastAsiaTheme="minorHAnsi" w:hAnsi="Times New Roman" w:cs="Times New Roman"/>
          <w:color w:val="000000"/>
          <w:szCs w:val="24"/>
          <w:lang w:val="fr-FR"/>
        </w:rPr>
        <w:fldChar w:fldCharType="separate"/>
      </w:r>
      <w:r w:rsidR="005D3CD5" w:rsidRPr="005D3CD5">
        <w:rPr>
          <w:rFonts w:ascii="Times New Roman" w:eastAsiaTheme="minorHAnsi" w:hAnsi="Times New Roman" w:cs="Times New Roman"/>
          <w:noProof/>
          <w:color w:val="000000"/>
          <w:szCs w:val="24"/>
          <w:lang w:val="fr-FR"/>
        </w:rPr>
        <w:t>55</w:t>
      </w:r>
      <w:r w:rsidRPr="005D3CD5">
        <w:rPr>
          <w:rFonts w:ascii="Times New Roman" w:eastAsiaTheme="minorHAnsi" w:hAnsi="Times New Roman" w:cs="Times New Roman"/>
          <w:color w:val="000000"/>
          <w:szCs w:val="24"/>
          <w:lang w:val="fr-FR"/>
        </w:rPr>
        <w:fldChar w:fldCharType="end"/>
      </w:r>
      <w:r w:rsidRPr="005D3CD5">
        <w:rPr>
          <w:rFonts w:ascii="Times New Roman" w:eastAsiaTheme="minorHAnsi" w:hAnsi="Times New Roman" w:cs="Times New Roman"/>
          <w:color w:val="000000"/>
          <w:szCs w:val="24"/>
          <w:lang w:val="fr-FR"/>
        </w:rPr>
        <w:t>.  </w:t>
      </w:r>
      <w:r w:rsidR="00644F69" w:rsidRPr="005D3CD5">
        <w:rPr>
          <w:rFonts w:ascii="Times New Roman" w:eastAsiaTheme="minorHAnsi" w:hAnsi="Times New Roman" w:cs="Times New Roman"/>
          <w:color w:val="000000"/>
          <w:szCs w:val="24"/>
          <w:lang w:val="fr-FR"/>
        </w:rPr>
        <w:t>Enfin, les requérants affirment que</w:t>
      </w:r>
      <w:r w:rsidR="00BD1F73" w:rsidRPr="005D3CD5">
        <w:rPr>
          <w:rFonts w:ascii="Times New Roman" w:eastAsiaTheme="minorHAnsi" w:hAnsi="Times New Roman" w:cs="Times New Roman"/>
          <w:color w:val="000000"/>
          <w:szCs w:val="24"/>
          <w:lang w:val="fr-FR"/>
        </w:rPr>
        <w:t xml:space="preserve"> la procédure d</w:t>
      </w:r>
      <w:r w:rsidR="005D3CD5" w:rsidRPr="005D3CD5">
        <w:rPr>
          <w:rFonts w:ascii="Times New Roman" w:eastAsiaTheme="minorHAnsi" w:hAnsi="Times New Roman" w:cs="Times New Roman"/>
          <w:color w:val="000000"/>
          <w:szCs w:val="24"/>
          <w:lang w:val="fr-FR"/>
        </w:rPr>
        <w:t>’</w:t>
      </w:r>
      <w:r w:rsidR="00BD1F73" w:rsidRPr="005D3CD5">
        <w:rPr>
          <w:rFonts w:ascii="Times New Roman" w:eastAsiaTheme="minorHAnsi" w:hAnsi="Times New Roman" w:cs="Times New Roman"/>
          <w:color w:val="000000"/>
          <w:szCs w:val="24"/>
          <w:lang w:val="fr-FR"/>
        </w:rPr>
        <w:t xml:space="preserve">identification </w:t>
      </w:r>
      <w:r w:rsidR="00863C11" w:rsidRPr="005D3CD5">
        <w:rPr>
          <w:rFonts w:ascii="Times New Roman" w:eastAsiaTheme="minorHAnsi" w:hAnsi="Times New Roman" w:cs="Times New Roman"/>
          <w:color w:val="000000"/>
          <w:szCs w:val="24"/>
          <w:lang w:val="fr-FR"/>
        </w:rPr>
        <w:t xml:space="preserve">les concernant </w:t>
      </w:r>
      <w:r w:rsidR="00BD1F73" w:rsidRPr="005D3CD5">
        <w:rPr>
          <w:rFonts w:ascii="Times New Roman" w:eastAsiaTheme="minorHAnsi" w:hAnsi="Times New Roman" w:cs="Times New Roman"/>
          <w:color w:val="000000"/>
          <w:szCs w:val="24"/>
          <w:lang w:val="fr-FR"/>
        </w:rPr>
        <w:t>n</w:t>
      </w:r>
      <w:r w:rsidR="005D3CD5" w:rsidRPr="005D3CD5">
        <w:rPr>
          <w:rFonts w:ascii="Times New Roman" w:eastAsiaTheme="minorHAnsi" w:hAnsi="Times New Roman" w:cs="Times New Roman"/>
          <w:color w:val="000000"/>
          <w:szCs w:val="24"/>
          <w:lang w:val="fr-FR"/>
        </w:rPr>
        <w:t>’</w:t>
      </w:r>
      <w:r w:rsidR="00BD1F73" w:rsidRPr="005D3CD5">
        <w:rPr>
          <w:rFonts w:ascii="Times New Roman" w:eastAsiaTheme="minorHAnsi" w:hAnsi="Times New Roman" w:cs="Times New Roman"/>
          <w:color w:val="000000"/>
          <w:szCs w:val="24"/>
          <w:lang w:val="fr-FR"/>
        </w:rPr>
        <w:t xml:space="preserve">a pas été conduite avec la diligence requise. </w:t>
      </w:r>
      <w:r w:rsidR="00644F69" w:rsidRPr="005D3CD5">
        <w:rPr>
          <w:rFonts w:ascii="Times New Roman" w:eastAsiaTheme="minorHAnsi" w:hAnsi="Times New Roman" w:cs="Times New Roman"/>
          <w:color w:val="000000"/>
          <w:szCs w:val="24"/>
          <w:lang w:val="fr-FR"/>
        </w:rPr>
        <w:t>À</w:t>
      </w:r>
      <w:r w:rsidR="00BD1F73" w:rsidRPr="005D3CD5">
        <w:rPr>
          <w:rFonts w:ascii="Times New Roman" w:eastAsiaTheme="minorHAnsi" w:hAnsi="Times New Roman" w:cs="Times New Roman"/>
          <w:color w:val="000000"/>
          <w:szCs w:val="24"/>
          <w:lang w:val="fr-FR"/>
        </w:rPr>
        <w:t xml:space="preserve"> cet égard, </w:t>
      </w:r>
      <w:r w:rsidR="00644F69" w:rsidRPr="005D3CD5">
        <w:rPr>
          <w:rFonts w:ascii="Times New Roman" w:eastAsiaTheme="minorHAnsi" w:hAnsi="Times New Roman" w:cs="Times New Roman"/>
          <w:color w:val="000000"/>
          <w:szCs w:val="24"/>
          <w:lang w:val="fr-FR"/>
        </w:rPr>
        <w:t>ils</w:t>
      </w:r>
      <w:r w:rsidR="00BD1F73" w:rsidRPr="005D3CD5">
        <w:rPr>
          <w:rFonts w:ascii="Times New Roman" w:eastAsiaTheme="minorHAnsi" w:hAnsi="Times New Roman" w:cs="Times New Roman"/>
          <w:color w:val="000000"/>
          <w:szCs w:val="24"/>
          <w:lang w:val="fr-FR"/>
        </w:rPr>
        <w:t xml:space="preserve"> </w:t>
      </w:r>
      <w:r w:rsidR="00965BB5" w:rsidRPr="005D3CD5">
        <w:rPr>
          <w:rFonts w:ascii="Times New Roman" w:eastAsiaTheme="minorHAnsi" w:hAnsi="Times New Roman" w:cs="Times New Roman"/>
          <w:color w:val="000000"/>
          <w:szCs w:val="24"/>
          <w:lang w:val="fr-FR"/>
        </w:rPr>
        <w:t>rappellent</w:t>
      </w:r>
      <w:r w:rsidR="00BD1F73" w:rsidRPr="005D3CD5">
        <w:rPr>
          <w:rFonts w:ascii="Times New Roman" w:eastAsiaTheme="minorHAnsi" w:hAnsi="Times New Roman" w:cs="Times New Roman"/>
          <w:color w:val="000000"/>
          <w:szCs w:val="24"/>
          <w:lang w:val="fr-FR"/>
        </w:rPr>
        <w:t xml:space="preserve"> la </w:t>
      </w:r>
      <w:r w:rsidR="00965BB5" w:rsidRPr="005D3CD5">
        <w:rPr>
          <w:rFonts w:ascii="Times New Roman" w:eastAsiaTheme="minorHAnsi" w:hAnsi="Times New Roman" w:cs="Times New Roman"/>
          <w:color w:val="000000"/>
          <w:szCs w:val="24"/>
          <w:lang w:val="fr-FR"/>
        </w:rPr>
        <w:t>jurisprudence</w:t>
      </w:r>
      <w:r w:rsidR="00644F69" w:rsidRPr="005D3CD5">
        <w:rPr>
          <w:rFonts w:ascii="Times New Roman" w:eastAsiaTheme="minorHAnsi" w:hAnsi="Times New Roman" w:cs="Times New Roman"/>
          <w:color w:val="000000"/>
          <w:szCs w:val="24"/>
          <w:lang w:val="fr-FR"/>
        </w:rPr>
        <w:t xml:space="preserve"> de la Cour dans les arrêts</w:t>
      </w:r>
      <w:r w:rsidR="00BD1F73" w:rsidRPr="005D3CD5">
        <w:rPr>
          <w:rFonts w:ascii="Times New Roman" w:eastAsiaTheme="minorHAnsi" w:hAnsi="Times New Roman" w:cs="Times New Roman"/>
          <w:color w:val="000000"/>
          <w:szCs w:val="24"/>
          <w:lang w:val="fr-FR"/>
        </w:rPr>
        <w:t xml:space="preserve"> </w:t>
      </w:r>
      <w:r w:rsidR="00BD1F73" w:rsidRPr="005D3CD5">
        <w:rPr>
          <w:rFonts w:ascii="Times New Roman" w:eastAsiaTheme="minorHAnsi" w:hAnsi="Times New Roman" w:cs="Times New Roman"/>
          <w:i/>
          <w:iCs/>
          <w:color w:val="000000"/>
          <w:szCs w:val="24"/>
          <w:lang w:val="fr-FR"/>
        </w:rPr>
        <w:t>Chahal c.</w:t>
      </w:r>
      <w:r w:rsidR="00863C11" w:rsidRPr="005D3CD5">
        <w:rPr>
          <w:rFonts w:ascii="Times New Roman" w:eastAsiaTheme="minorHAnsi" w:hAnsi="Times New Roman" w:cs="Times New Roman"/>
          <w:i/>
          <w:iCs/>
          <w:color w:val="000000"/>
          <w:szCs w:val="24"/>
          <w:lang w:val="fr-FR"/>
        </w:rPr>
        <w:t> </w:t>
      </w:r>
      <w:r w:rsidR="00BD1F73" w:rsidRPr="005D3CD5">
        <w:rPr>
          <w:rFonts w:ascii="Times New Roman" w:eastAsiaTheme="minorHAnsi" w:hAnsi="Times New Roman" w:cs="Times New Roman"/>
          <w:i/>
          <w:iCs/>
          <w:color w:val="000000"/>
          <w:szCs w:val="24"/>
          <w:lang w:val="fr-FR"/>
        </w:rPr>
        <w:t>Royaume</w:t>
      </w:r>
      <w:r w:rsidR="00863C11" w:rsidRPr="005D3CD5">
        <w:rPr>
          <w:rFonts w:ascii="Times New Roman" w:eastAsiaTheme="minorHAnsi" w:hAnsi="Times New Roman" w:cs="Times New Roman"/>
          <w:i/>
          <w:iCs/>
          <w:color w:val="000000"/>
          <w:szCs w:val="24"/>
          <w:lang w:val="fr-FR"/>
        </w:rPr>
        <w:noBreakHyphen/>
      </w:r>
      <w:r w:rsidR="00BD1F73" w:rsidRPr="005D3CD5">
        <w:rPr>
          <w:rFonts w:ascii="Times New Roman" w:eastAsiaTheme="minorHAnsi" w:hAnsi="Times New Roman" w:cs="Times New Roman"/>
          <w:i/>
          <w:iCs/>
          <w:color w:val="000000"/>
          <w:szCs w:val="24"/>
          <w:lang w:val="fr-FR"/>
        </w:rPr>
        <w:t>Uni</w:t>
      </w:r>
      <w:r w:rsidR="00BD1F73" w:rsidRPr="005D3CD5">
        <w:rPr>
          <w:rFonts w:ascii="Times New Roman" w:eastAsiaTheme="minorHAnsi" w:hAnsi="Times New Roman" w:cs="Times New Roman"/>
          <w:color w:val="000000"/>
          <w:szCs w:val="24"/>
          <w:lang w:val="fr-FR"/>
        </w:rPr>
        <w:t xml:space="preserve"> </w:t>
      </w:r>
      <w:r w:rsidR="00405C60" w:rsidRPr="005D3CD5">
        <w:rPr>
          <w:rFonts w:ascii="Times New Roman" w:eastAsiaTheme="minorHAnsi" w:hAnsi="Times New Roman" w:cs="Times New Roman"/>
          <w:color w:val="000000"/>
          <w:szCs w:val="24"/>
          <w:lang w:val="fr-FR"/>
        </w:rPr>
        <w:t>(</w:t>
      </w:r>
      <w:r w:rsidR="00BD1F73" w:rsidRPr="005D3CD5">
        <w:rPr>
          <w:rFonts w:ascii="Times New Roman" w:eastAsiaTheme="minorHAnsi" w:hAnsi="Times New Roman" w:cs="Times New Roman"/>
          <w:color w:val="000000"/>
          <w:szCs w:val="24"/>
          <w:lang w:val="fr-FR"/>
        </w:rPr>
        <w:t xml:space="preserve">15 novembre 1996, § 113, </w:t>
      </w:r>
      <w:r w:rsidR="00BD1F73" w:rsidRPr="005D3CD5">
        <w:rPr>
          <w:rFonts w:ascii="Times New Roman" w:eastAsiaTheme="minorHAnsi" w:hAnsi="Times New Roman" w:cs="Times New Roman"/>
          <w:i/>
          <w:color w:val="000000"/>
          <w:szCs w:val="24"/>
          <w:lang w:val="fr-FR"/>
        </w:rPr>
        <w:t>Recueil</w:t>
      </w:r>
      <w:r w:rsidR="00BD1F73" w:rsidRPr="005D3CD5">
        <w:rPr>
          <w:rFonts w:ascii="Times New Roman" w:eastAsiaTheme="minorHAnsi" w:hAnsi="Times New Roman" w:cs="Times New Roman"/>
          <w:color w:val="000000"/>
          <w:szCs w:val="24"/>
          <w:lang w:val="fr-FR"/>
        </w:rPr>
        <w:t xml:space="preserve"> 1996</w:t>
      </w:r>
      <w:r w:rsidR="00BD1F73" w:rsidRPr="005D3CD5">
        <w:rPr>
          <w:rFonts w:ascii="Times New Roman" w:eastAsiaTheme="minorHAnsi" w:hAnsi="Times New Roman" w:cs="Times New Roman"/>
          <w:color w:val="000000"/>
          <w:szCs w:val="24"/>
          <w:lang w:val="fr-FR"/>
        </w:rPr>
        <w:noBreakHyphen/>
      </w:r>
      <w:r w:rsidR="00E27B2A" w:rsidRPr="005D3CD5">
        <w:rPr>
          <w:rFonts w:ascii="Times New Roman" w:eastAsiaTheme="minorHAnsi" w:hAnsi="Times New Roman" w:cs="Times New Roman"/>
          <w:color w:val="000000"/>
          <w:szCs w:val="24"/>
          <w:lang w:val="fr-FR"/>
        </w:rPr>
        <w:t>V)</w:t>
      </w:r>
      <w:r w:rsidR="00405C60" w:rsidRPr="005D3CD5">
        <w:rPr>
          <w:rFonts w:ascii="Times New Roman" w:eastAsiaTheme="minorHAnsi" w:hAnsi="Times New Roman" w:cs="Times New Roman"/>
          <w:color w:val="000000"/>
          <w:szCs w:val="24"/>
          <w:lang w:val="fr-FR"/>
        </w:rPr>
        <w:t>,</w:t>
      </w:r>
      <w:r w:rsidR="00BD1F73" w:rsidRPr="005D3CD5">
        <w:rPr>
          <w:rFonts w:ascii="Times New Roman" w:eastAsiaTheme="minorHAnsi" w:hAnsi="Times New Roman" w:cs="Times New Roman"/>
          <w:color w:val="000000"/>
          <w:szCs w:val="24"/>
          <w:lang w:val="fr-FR"/>
        </w:rPr>
        <w:t xml:space="preserve"> </w:t>
      </w:r>
      <w:r w:rsidR="00BD1F73" w:rsidRPr="005D3CD5">
        <w:rPr>
          <w:rFonts w:ascii="Times New Roman" w:eastAsiaTheme="minorHAnsi" w:hAnsi="Times New Roman" w:cs="Times New Roman"/>
          <w:i/>
          <w:iCs/>
          <w:color w:val="000000"/>
          <w:szCs w:val="24"/>
          <w:lang w:val="fr-FR"/>
        </w:rPr>
        <w:t>Saadi c. Royaume-Uni</w:t>
      </w:r>
      <w:r w:rsidR="00BD1F73" w:rsidRPr="005D3CD5">
        <w:rPr>
          <w:rFonts w:ascii="Times New Roman" w:eastAsiaTheme="minorHAnsi" w:hAnsi="Times New Roman" w:cs="Times New Roman"/>
          <w:color w:val="000000"/>
          <w:szCs w:val="24"/>
          <w:lang w:val="fr-FR"/>
        </w:rPr>
        <w:t xml:space="preserve"> [GC]</w:t>
      </w:r>
      <w:r w:rsidR="00364D14" w:rsidRPr="005D3CD5">
        <w:rPr>
          <w:rFonts w:ascii="Times New Roman" w:eastAsiaTheme="minorHAnsi" w:hAnsi="Times New Roman" w:cs="Times New Roman"/>
          <w:color w:val="000000"/>
          <w:szCs w:val="24"/>
          <w:lang w:val="fr-FR"/>
        </w:rPr>
        <w:t xml:space="preserve"> </w:t>
      </w:r>
      <w:r w:rsidR="00405C60" w:rsidRPr="005D3CD5">
        <w:rPr>
          <w:rFonts w:ascii="Times New Roman" w:eastAsiaTheme="minorHAnsi" w:hAnsi="Times New Roman" w:cs="Times New Roman"/>
          <w:color w:val="000000"/>
          <w:szCs w:val="24"/>
          <w:lang w:val="fr-FR"/>
        </w:rPr>
        <w:t>(</w:t>
      </w:r>
      <w:r w:rsidR="00364D14" w:rsidRPr="005D3CD5">
        <w:rPr>
          <w:rFonts w:ascii="Times New Roman" w:eastAsiaTheme="minorHAnsi" w:hAnsi="Times New Roman" w:cs="Times New Roman"/>
          <w:color w:val="000000"/>
          <w:szCs w:val="24"/>
          <w:lang w:val="fr-FR"/>
        </w:rPr>
        <w:t>n</w:t>
      </w:r>
      <w:r w:rsidR="00B504CC" w:rsidRPr="005D3CD5">
        <w:rPr>
          <w:rFonts w:ascii="Times New Roman" w:eastAsiaTheme="minorHAnsi" w:hAnsi="Times New Roman" w:cs="Times New Roman"/>
          <w:color w:val="000000"/>
          <w:szCs w:val="24"/>
          <w:vertAlign w:val="superscript"/>
          <w:lang w:val="fr-FR"/>
        </w:rPr>
        <w:t>o</w:t>
      </w:r>
      <w:r w:rsidR="00364D14" w:rsidRPr="005D3CD5">
        <w:rPr>
          <w:rFonts w:ascii="Times New Roman" w:eastAsiaTheme="minorHAnsi" w:hAnsi="Times New Roman" w:cs="Times New Roman"/>
          <w:color w:val="000000"/>
          <w:szCs w:val="24"/>
          <w:lang w:val="fr-FR"/>
        </w:rPr>
        <w:t> 13229/03, § 74, CEDH 2008</w:t>
      </w:r>
      <w:r w:rsidR="00405C60" w:rsidRPr="005D3CD5">
        <w:rPr>
          <w:rFonts w:ascii="Times New Roman" w:eastAsiaTheme="minorHAnsi" w:hAnsi="Times New Roman" w:cs="Times New Roman"/>
          <w:color w:val="000000"/>
          <w:szCs w:val="24"/>
          <w:lang w:val="fr-FR"/>
        </w:rPr>
        <w:t>) et</w:t>
      </w:r>
      <w:r w:rsidR="00BD1F73" w:rsidRPr="005D3CD5">
        <w:rPr>
          <w:rFonts w:ascii="Times New Roman" w:eastAsiaTheme="minorHAnsi" w:hAnsi="Times New Roman" w:cs="Times New Roman"/>
          <w:color w:val="000000"/>
          <w:szCs w:val="24"/>
          <w:lang w:val="fr-FR"/>
        </w:rPr>
        <w:t xml:space="preserve"> </w:t>
      </w:r>
      <w:r w:rsidR="00965BB5" w:rsidRPr="005D3CD5">
        <w:rPr>
          <w:i/>
          <w:lang w:val="fr-FR"/>
        </w:rPr>
        <w:t>Lokpo et Touré c.</w:t>
      </w:r>
      <w:r w:rsidR="00863C11" w:rsidRPr="005D3CD5">
        <w:rPr>
          <w:i/>
          <w:lang w:val="fr-FR"/>
        </w:rPr>
        <w:t> </w:t>
      </w:r>
      <w:r w:rsidR="00965BB5" w:rsidRPr="005D3CD5">
        <w:rPr>
          <w:i/>
          <w:lang w:val="fr-FR"/>
        </w:rPr>
        <w:t>Hongrie</w:t>
      </w:r>
      <w:r w:rsidR="00405C60" w:rsidRPr="005D3CD5">
        <w:rPr>
          <w:lang w:val="fr-FR"/>
        </w:rPr>
        <w:t xml:space="preserve"> </w:t>
      </w:r>
      <w:r w:rsidR="00644F69" w:rsidRPr="005D3CD5">
        <w:rPr>
          <w:lang w:val="fr-FR"/>
        </w:rPr>
        <w:t>(</w:t>
      </w:r>
      <w:r w:rsidR="00965BB5" w:rsidRPr="005D3CD5">
        <w:rPr>
          <w:lang w:val="fr-FR"/>
        </w:rPr>
        <w:t>n</w:t>
      </w:r>
      <w:r w:rsidR="00965BB5" w:rsidRPr="005D3CD5">
        <w:rPr>
          <w:vertAlign w:val="superscript"/>
          <w:lang w:val="fr-FR"/>
        </w:rPr>
        <w:t>o</w:t>
      </w:r>
      <w:r w:rsidR="00644F69" w:rsidRPr="005D3CD5">
        <w:rPr>
          <w:lang w:val="fr-FR"/>
        </w:rPr>
        <w:t> </w:t>
      </w:r>
      <w:r w:rsidR="00965BB5" w:rsidRPr="005D3CD5">
        <w:rPr>
          <w:lang w:val="fr-FR"/>
        </w:rPr>
        <w:t>10816/10</w:t>
      </w:r>
      <w:r w:rsidR="00965BB5" w:rsidRPr="005D3CD5">
        <w:rPr>
          <w:snapToGrid w:val="0"/>
          <w:szCs w:val="24"/>
          <w:lang w:val="fr-FR"/>
        </w:rPr>
        <w:t xml:space="preserve">, § 14, 20 </w:t>
      </w:r>
      <w:r w:rsidR="00965BB5" w:rsidRPr="005D3CD5">
        <w:rPr>
          <w:szCs w:val="24"/>
          <w:lang w:val="fr-FR"/>
        </w:rPr>
        <w:t>septembre</w:t>
      </w:r>
      <w:r w:rsidR="00965BB5" w:rsidRPr="005D3CD5">
        <w:rPr>
          <w:snapToGrid w:val="0"/>
          <w:szCs w:val="24"/>
          <w:lang w:val="fr-FR"/>
        </w:rPr>
        <w:t xml:space="preserve"> 2011</w:t>
      </w:r>
      <w:r w:rsidR="00405C60" w:rsidRPr="005D3CD5">
        <w:rPr>
          <w:snapToGrid w:val="0"/>
          <w:szCs w:val="24"/>
          <w:lang w:val="fr-FR"/>
        </w:rPr>
        <w:t>)</w:t>
      </w:r>
      <w:r w:rsidR="00965BB5" w:rsidRPr="005D3CD5">
        <w:rPr>
          <w:rFonts w:ascii="Times New Roman" w:eastAsiaTheme="minorHAnsi" w:hAnsi="Times New Roman" w:cs="Times New Roman"/>
          <w:color w:val="000000"/>
          <w:szCs w:val="24"/>
          <w:lang w:val="fr-FR"/>
        </w:rPr>
        <w:t>.</w:t>
      </w:r>
    </w:p>
    <w:p w:rsidR="00BD1F73" w:rsidRPr="005D3CD5" w:rsidRDefault="00DF4B55" w:rsidP="005D3CD5">
      <w:pPr>
        <w:pStyle w:val="ECHRHeading4"/>
        <w:rPr>
          <w:rFonts w:eastAsiaTheme="minorHAnsi"/>
          <w:lang w:val="fr-FR"/>
        </w:rPr>
      </w:pPr>
      <w:r w:rsidRPr="005D3CD5">
        <w:rPr>
          <w:rFonts w:eastAsiaTheme="minorHAnsi"/>
          <w:lang w:val="fr-FR"/>
        </w:rPr>
        <w:t>b)</w:t>
      </w:r>
      <w:r w:rsidR="00B120E7" w:rsidRPr="005D3CD5">
        <w:rPr>
          <w:rFonts w:eastAsiaTheme="minorHAnsi"/>
          <w:lang w:val="fr-FR"/>
        </w:rPr>
        <w:t>  </w:t>
      </w:r>
      <w:r w:rsidRPr="005D3CD5">
        <w:rPr>
          <w:rFonts w:eastAsiaTheme="minorHAnsi"/>
          <w:lang w:val="fr-FR"/>
        </w:rPr>
        <w:t>Le Gouvernement</w:t>
      </w:r>
    </w:p>
    <w:p w:rsidR="00DF4B55" w:rsidRPr="005D3CD5" w:rsidRDefault="00D70E68"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56</w:t>
      </w:r>
      <w:r w:rsidRPr="005D3CD5">
        <w:rPr>
          <w:rFonts w:eastAsiaTheme="minorHAnsi"/>
          <w:lang w:val="fr-FR"/>
        </w:rPr>
        <w:fldChar w:fldCharType="end"/>
      </w:r>
      <w:r w:rsidRPr="005D3CD5">
        <w:rPr>
          <w:rFonts w:eastAsiaTheme="minorHAnsi"/>
          <w:lang w:val="fr-FR"/>
        </w:rPr>
        <w:t>.  </w:t>
      </w:r>
      <w:r w:rsidR="00CC4301" w:rsidRPr="005D3CD5">
        <w:rPr>
          <w:rFonts w:eastAsiaTheme="minorHAnsi"/>
          <w:lang w:val="fr-FR"/>
        </w:rPr>
        <w:t>L</w:t>
      </w:r>
      <w:r w:rsidR="00DF4B55" w:rsidRPr="005D3CD5">
        <w:rPr>
          <w:rFonts w:eastAsiaTheme="minorHAnsi"/>
          <w:lang w:val="fr-FR"/>
        </w:rPr>
        <w:t xml:space="preserve">e Gouvernement </w:t>
      </w:r>
      <w:r w:rsidR="00CC4301" w:rsidRPr="005D3CD5">
        <w:rPr>
          <w:rFonts w:eastAsiaTheme="minorHAnsi"/>
          <w:lang w:val="fr-FR"/>
        </w:rPr>
        <w:t xml:space="preserve">soutient que </w:t>
      </w:r>
      <w:r w:rsidR="00DF4B55" w:rsidRPr="005D3CD5">
        <w:rPr>
          <w:rFonts w:eastAsiaTheme="minorHAnsi"/>
          <w:lang w:val="fr-FR"/>
        </w:rPr>
        <w:t xml:space="preserve">la procédure de </w:t>
      </w:r>
      <w:r w:rsidR="00E772FC" w:rsidRPr="005D3CD5">
        <w:rPr>
          <w:rFonts w:eastAsiaTheme="minorHAnsi"/>
          <w:lang w:val="fr-FR"/>
        </w:rPr>
        <w:t>détention</w:t>
      </w:r>
      <w:r w:rsidR="00DF4B55" w:rsidRPr="005D3CD5">
        <w:rPr>
          <w:rFonts w:eastAsiaTheme="minorHAnsi"/>
          <w:lang w:val="fr-FR"/>
        </w:rPr>
        <w:t xml:space="preserve"> était conforme au droit </w:t>
      </w:r>
      <w:r w:rsidR="00364D14" w:rsidRPr="005D3CD5">
        <w:rPr>
          <w:rFonts w:eastAsiaTheme="minorHAnsi"/>
          <w:lang w:val="fr-FR"/>
        </w:rPr>
        <w:t>national</w:t>
      </w:r>
      <w:r w:rsidR="00DF4B55" w:rsidRPr="005D3CD5">
        <w:rPr>
          <w:rFonts w:eastAsiaTheme="minorHAnsi"/>
          <w:lang w:val="fr-FR"/>
        </w:rPr>
        <w:t xml:space="preserve"> et international</w:t>
      </w:r>
      <w:r w:rsidR="00364D14" w:rsidRPr="005D3CD5">
        <w:rPr>
          <w:rFonts w:eastAsiaTheme="minorHAnsi"/>
          <w:lang w:val="fr-FR"/>
        </w:rPr>
        <w:t>.</w:t>
      </w:r>
    </w:p>
    <w:p w:rsidR="00DF4B55" w:rsidRPr="005D3CD5" w:rsidRDefault="00D70E68"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57</w:t>
      </w:r>
      <w:r w:rsidRPr="005D3CD5">
        <w:rPr>
          <w:rFonts w:eastAsiaTheme="minorHAnsi"/>
          <w:lang w:val="fr-FR"/>
        </w:rPr>
        <w:fldChar w:fldCharType="end"/>
      </w:r>
      <w:r w:rsidRPr="005D3CD5">
        <w:rPr>
          <w:rFonts w:eastAsiaTheme="minorHAnsi"/>
          <w:lang w:val="fr-FR"/>
        </w:rPr>
        <w:t>.  </w:t>
      </w:r>
      <w:r w:rsidR="00CC4301" w:rsidRPr="005D3CD5">
        <w:rPr>
          <w:rFonts w:eastAsiaTheme="minorHAnsi"/>
          <w:lang w:val="fr-FR"/>
        </w:rPr>
        <w:t>Il affirme que l</w:t>
      </w:r>
      <w:r w:rsidR="00DF4B55" w:rsidRPr="005D3CD5">
        <w:rPr>
          <w:rFonts w:eastAsiaTheme="minorHAnsi"/>
          <w:lang w:val="fr-FR"/>
        </w:rPr>
        <w:t xml:space="preserve">a prolongation de trente jours </w:t>
      </w:r>
      <w:r w:rsidR="00812513" w:rsidRPr="005D3CD5">
        <w:rPr>
          <w:rFonts w:eastAsiaTheme="minorHAnsi"/>
          <w:lang w:val="fr-FR"/>
        </w:rPr>
        <w:t>se justifiait par l</w:t>
      </w:r>
      <w:r w:rsidR="005D3CD5" w:rsidRPr="005D3CD5">
        <w:rPr>
          <w:rFonts w:eastAsiaTheme="minorHAnsi"/>
          <w:lang w:val="fr-FR"/>
        </w:rPr>
        <w:t>’</w:t>
      </w:r>
      <w:r w:rsidR="00812513" w:rsidRPr="005D3CD5">
        <w:rPr>
          <w:rFonts w:eastAsiaTheme="minorHAnsi"/>
          <w:lang w:val="fr-FR"/>
        </w:rPr>
        <w:t xml:space="preserve">impératif de </w:t>
      </w:r>
      <w:r w:rsidR="00DF4B55" w:rsidRPr="005D3CD5">
        <w:rPr>
          <w:rFonts w:eastAsiaTheme="minorHAnsi"/>
          <w:lang w:val="fr-FR"/>
        </w:rPr>
        <w:t>vérifi</w:t>
      </w:r>
      <w:r w:rsidR="00933AB7" w:rsidRPr="005D3CD5">
        <w:rPr>
          <w:rFonts w:eastAsiaTheme="minorHAnsi"/>
          <w:lang w:val="fr-FR"/>
        </w:rPr>
        <w:t xml:space="preserve">cation de </w:t>
      </w:r>
      <w:r w:rsidR="00DF4B55" w:rsidRPr="005D3CD5">
        <w:rPr>
          <w:rFonts w:eastAsiaTheme="minorHAnsi"/>
          <w:lang w:val="fr-FR"/>
        </w:rPr>
        <w:t>l</w:t>
      </w:r>
      <w:r w:rsidR="005D3CD5" w:rsidRPr="005D3CD5">
        <w:rPr>
          <w:rFonts w:eastAsiaTheme="minorHAnsi"/>
          <w:lang w:val="fr-FR"/>
        </w:rPr>
        <w:t>’</w:t>
      </w:r>
      <w:r w:rsidR="00DF4B55" w:rsidRPr="005D3CD5">
        <w:rPr>
          <w:rFonts w:eastAsiaTheme="minorHAnsi"/>
          <w:lang w:val="fr-FR"/>
        </w:rPr>
        <w:t>identité des requérants</w:t>
      </w:r>
      <w:r w:rsidR="00933AB7" w:rsidRPr="005D3CD5">
        <w:rPr>
          <w:rFonts w:eastAsiaTheme="minorHAnsi"/>
          <w:lang w:val="fr-FR"/>
        </w:rPr>
        <w:t>, afin de préparer</w:t>
      </w:r>
      <w:r w:rsidR="00DF4B55" w:rsidRPr="005D3CD5">
        <w:rPr>
          <w:rFonts w:eastAsiaTheme="minorHAnsi"/>
          <w:lang w:val="fr-FR"/>
        </w:rPr>
        <w:t xml:space="preserve"> le moyen de transport et les documents </w:t>
      </w:r>
      <w:r w:rsidR="00812513" w:rsidRPr="005D3CD5">
        <w:rPr>
          <w:rFonts w:eastAsiaTheme="minorHAnsi"/>
          <w:lang w:val="fr-FR"/>
        </w:rPr>
        <w:t>nécessaires</w:t>
      </w:r>
      <w:r w:rsidR="00DF4B55" w:rsidRPr="005D3CD5">
        <w:rPr>
          <w:rFonts w:eastAsiaTheme="minorHAnsi"/>
          <w:lang w:val="fr-FR"/>
        </w:rPr>
        <w:t xml:space="preserve"> </w:t>
      </w:r>
      <w:r w:rsidR="00933AB7" w:rsidRPr="005D3CD5">
        <w:rPr>
          <w:rFonts w:eastAsiaTheme="minorHAnsi"/>
          <w:lang w:val="fr-FR"/>
        </w:rPr>
        <w:t>au</w:t>
      </w:r>
      <w:r w:rsidR="00826045" w:rsidRPr="005D3CD5">
        <w:rPr>
          <w:rFonts w:eastAsiaTheme="minorHAnsi"/>
          <w:lang w:val="fr-FR"/>
        </w:rPr>
        <w:t xml:space="preserve"> rapatriement</w:t>
      </w:r>
      <w:r w:rsidR="00933AB7" w:rsidRPr="005D3CD5">
        <w:rPr>
          <w:rFonts w:eastAsiaTheme="minorHAnsi"/>
          <w:lang w:val="fr-FR"/>
        </w:rPr>
        <w:t xml:space="preserve"> de ces derniers</w:t>
      </w:r>
      <w:r w:rsidR="00826045" w:rsidRPr="005D3CD5">
        <w:rPr>
          <w:rFonts w:eastAsiaTheme="minorHAnsi"/>
          <w:lang w:val="fr-FR"/>
        </w:rPr>
        <w:t xml:space="preserve">. </w:t>
      </w:r>
      <w:r w:rsidR="00933AB7" w:rsidRPr="005D3CD5">
        <w:rPr>
          <w:rFonts w:eastAsiaTheme="minorHAnsi"/>
          <w:lang w:val="fr-FR"/>
        </w:rPr>
        <w:t xml:space="preserve">Se référant aux arrêts </w:t>
      </w:r>
      <w:r w:rsidR="00933AB7" w:rsidRPr="005D3CD5">
        <w:rPr>
          <w:rFonts w:eastAsiaTheme="minorHAnsi"/>
          <w:i/>
          <w:lang w:val="fr-FR"/>
        </w:rPr>
        <w:t>Chahal c. Royaume-Uni</w:t>
      </w:r>
      <w:r w:rsidR="00933AB7" w:rsidRPr="005D3CD5">
        <w:rPr>
          <w:rFonts w:eastAsiaTheme="minorHAnsi"/>
          <w:lang w:val="fr-FR"/>
        </w:rPr>
        <w:t xml:space="preserve"> (précité), </w:t>
      </w:r>
      <w:r w:rsidR="00933AB7" w:rsidRPr="005D3CD5">
        <w:rPr>
          <w:rFonts w:eastAsiaTheme="minorHAnsi"/>
          <w:i/>
          <w:lang w:val="fr-FR"/>
        </w:rPr>
        <w:t>Bogdanovski c. Italie</w:t>
      </w:r>
      <w:r w:rsidR="00933AB7" w:rsidRPr="005D3CD5">
        <w:rPr>
          <w:rFonts w:eastAsiaTheme="minorHAnsi"/>
          <w:lang w:val="fr-FR"/>
        </w:rPr>
        <w:t xml:space="preserve"> (n</w:t>
      </w:r>
      <w:r w:rsidR="00933AB7" w:rsidRPr="005D3CD5">
        <w:rPr>
          <w:rFonts w:eastAsiaTheme="minorHAnsi"/>
          <w:vertAlign w:val="superscript"/>
          <w:lang w:val="fr-FR"/>
        </w:rPr>
        <w:t xml:space="preserve">o </w:t>
      </w:r>
      <w:r w:rsidR="00082A91" w:rsidRPr="005D3CD5">
        <w:rPr>
          <w:rFonts w:eastAsiaTheme="minorHAnsi"/>
          <w:lang w:val="fr-FR"/>
        </w:rPr>
        <w:t>72177/01</w:t>
      </w:r>
      <w:r w:rsidR="00933AB7" w:rsidRPr="005D3CD5">
        <w:rPr>
          <w:rFonts w:eastAsiaTheme="minorHAnsi"/>
          <w:lang w:val="fr-FR"/>
        </w:rPr>
        <w:t xml:space="preserve">, 14 décembre 2006) et </w:t>
      </w:r>
      <w:r w:rsidR="00933AB7" w:rsidRPr="005D3CD5">
        <w:rPr>
          <w:rFonts w:eastAsiaTheme="minorHAnsi"/>
          <w:i/>
          <w:lang w:val="fr-FR"/>
        </w:rPr>
        <w:t>Magnac c.</w:t>
      </w:r>
      <w:r w:rsidR="00812513" w:rsidRPr="005D3CD5">
        <w:rPr>
          <w:rFonts w:eastAsiaTheme="minorHAnsi"/>
          <w:i/>
          <w:lang w:val="fr-FR"/>
        </w:rPr>
        <w:t> </w:t>
      </w:r>
      <w:r w:rsidR="00933AB7" w:rsidRPr="005D3CD5">
        <w:rPr>
          <w:rFonts w:eastAsiaTheme="minorHAnsi"/>
          <w:i/>
          <w:lang w:val="fr-FR"/>
        </w:rPr>
        <w:t>Espagne</w:t>
      </w:r>
      <w:r w:rsidR="00933AB7" w:rsidRPr="005D3CD5">
        <w:rPr>
          <w:rFonts w:eastAsiaTheme="minorHAnsi"/>
          <w:lang w:val="fr-FR"/>
        </w:rPr>
        <w:t xml:space="preserve"> (n</w:t>
      </w:r>
      <w:r w:rsidR="00933AB7" w:rsidRPr="005D3CD5">
        <w:rPr>
          <w:rFonts w:eastAsiaTheme="minorHAnsi"/>
          <w:vertAlign w:val="superscript"/>
          <w:lang w:val="fr-FR"/>
        </w:rPr>
        <w:t>o</w:t>
      </w:r>
      <w:r w:rsidR="00933AB7" w:rsidRPr="005D3CD5">
        <w:rPr>
          <w:rFonts w:eastAsiaTheme="minorHAnsi"/>
          <w:lang w:val="fr-FR"/>
        </w:rPr>
        <w:t xml:space="preserve"> </w:t>
      </w:r>
      <w:r w:rsidR="00082A91" w:rsidRPr="005D3CD5">
        <w:rPr>
          <w:rFonts w:eastAsiaTheme="minorHAnsi"/>
          <w:lang w:val="fr-FR"/>
        </w:rPr>
        <w:t>74480/01</w:t>
      </w:r>
      <w:r w:rsidR="00933AB7" w:rsidRPr="005D3CD5">
        <w:rPr>
          <w:rFonts w:eastAsiaTheme="minorHAnsi"/>
          <w:lang w:val="fr-FR"/>
        </w:rPr>
        <w:t>, 28 janvier 2003), il considère que, m</w:t>
      </w:r>
      <w:r w:rsidR="00826045" w:rsidRPr="005D3CD5">
        <w:rPr>
          <w:rFonts w:eastAsiaTheme="minorHAnsi"/>
          <w:lang w:val="fr-FR"/>
        </w:rPr>
        <w:t>ême sous l</w:t>
      </w:r>
      <w:r w:rsidR="005D3CD5" w:rsidRPr="005D3CD5">
        <w:rPr>
          <w:rFonts w:eastAsiaTheme="minorHAnsi"/>
          <w:lang w:val="fr-FR"/>
        </w:rPr>
        <w:t>’</w:t>
      </w:r>
      <w:r w:rsidR="00826045" w:rsidRPr="005D3CD5">
        <w:rPr>
          <w:rFonts w:eastAsiaTheme="minorHAnsi"/>
          <w:lang w:val="fr-FR"/>
        </w:rPr>
        <w:t>angle de l</w:t>
      </w:r>
      <w:r w:rsidR="00DF4B55" w:rsidRPr="005D3CD5">
        <w:rPr>
          <w:rFonts w:eastAsiaTheme="minorHAnsi"/>
          <w:lang w:val="fr-FR"/>
        </w:rPr>
        <w:t xml:space="preserve">a durée, la détention </w:t>
      </w:r>
      <w:r w:rsidR="00826045" w:rsidRPr="005D3CD5">
        <w:rPr>
          <w:rFonts w:eastAsiaTheme="minorHAnsi"/>
          <w:lang w:val="fr-FR"/>
        </w:rPr>
        <w:t>des requérants</w:t>
      </w:r>
      <w:r w:rsidR="00DF4B55" w:rsidRPr="005D3CD5">
        <w:rPr>
          <w:rFonts w:eastAsiaTheme="minorHAnsi"/>
          <w:lang w:val="fr-FR"/>
        </w:rPr>
        <w:t xml:space="preserve"> </w:t>
      </w:r>
      <w:r w:rsidR="00933AB7" w:rsidRPr="005D3CD5">
        <w:rPr>
          <w:rFonts w:eastAsiaTheme="minorHAnsi"/>
          <w:lang w:val="fr-FR"/>
        </w:rPr>
        <w:t>était</w:t>
      </w:r>
      <w:r w:rsidR="00DF4B55" w:rsidRPr="005D3CD5">
        <w:rPr>
          <w:rFonts w:eastAsiaTheme="minorHAnsi"/>
          <w:lang w:val="fr-FR"/>
        </w:rPr>
        <w:t xml:space="preserve"> conforme à l</w:t>
      </w:r>
      <w:r w:rsidR="005D3CD5" w:rsidRPr="005D3CD5">
        <w:rPr>
          <w:rFonts w:eastAsiaTheme="minorHAnsi"/>
          <w:lang w:val="fr-FR"/>
        </w:rPr>
        <w:t>’</w:t>
      </w:r>
      <w:r w:rsidR="00DF4B55" w:rsidRPr="005D3CD5">
        <w:rPr>
          <w:rFonts w:eastAsiaTheme="minorHAnsi"/>
          <w:lang w:val="fr-FR"/>
        </w:rPr>
        <w:t>article 5</w:t>
      </w:r>
      <w:r w:rsidR="005D3CD5" w:rsidRPr="005D3CD5">
        <w:rPr>
          <w:rFonts w:eastAsiaTheme="minorHAnsi"/>
          <w:lang w:val="fr-FR"/>
        </w:rPr>
        <w:t xml:space="preserve"> </w:t>
      </w:r>
      <w:r w:rsidR="00DF4B55" w:rsidRPr="005D3CD5">
        <w:rPr>
          <w:rFonts w:eastAsiaTheme="minorHAnsi"/>
          <w:lang w:val="fr-FR"/>
        </w:rPr>
        <w:t>§</w:t>
      </w:r>
      <w:r w:rsidR="00B120E7" w:rsidRPr="005D3CD5">
        <w:rPr>
          <w:rFonts w:eastAsiaTheme="minorHAnsi"/>
          <w:lang w:val="fr-FR"/>
        </w:rPr>
        <w:t> </w:t>
      </w:r>
      <w:r w:rsidR="00DF4B55" w:rsidRPr="005D3CD5">
        <w:rPr>
          <w:rFonts w:eastAsiaTheme="minorHAnsi"/>
          <w:lang w:val="fr-FR"/>
        </w:rPr>
        <w:t>1 f) de la Convention.</w:t>
      </w:r>
    </w:p>
    <w:p w:rsidR="00DF4B55" w:rsidRPr="005D3CD5" w:rsidRDefault="00D70E68" w:rsidP="005D3CD5">
      <w:pPr>
        <w:pStyle w:val="ECHRPara"/>
        <w:rPr>
          <w:rFonts w:eastAsiaTheme="minorHAnsi"/>
          <w:lang w:val="fr-FR"/>
        </w:rPr>
      </w:pPr>
      <w:r w:rsidRPr="005D3CD5">
        <w:rPr>
          <w:rFonts w:eastAsiaTheme="minorHAnsi"/>
          <w:lang w:val="fr-FR"/>
        </w:rPr>
        <w:lastRenderedPageBreak/>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58</w:t>
      </w:r>
      <w:r w:rsidRPr="005D3CD5">
        <w:rPr>
          <w:rFonts w:eastAsiaTheme="minorHAnsi"/>
          <w:lang w:val="fr-FR"/>
        </w:rPr>
        <w:fldChar w:fldCharType="end"/>
      </w:r>
      <w:r w:rsidRPr="005D3CD5">
        <w:rPr>
          <w:rFonts w:eastAsiaTheme="minorHAnsi"/>
          <w:lang w:val="fr-FR"/>
        </w:rPr>
        <w:t>.  </w:t>
      </w:r>
      <w:r w:rsidR="00933AB7" w:rsidRPr="005D3CD5">
        <w:rPr>
          <w:rFonts w:eastAsiaTheme="minorHAnsi"/>
          <w:lang w:val="fr-FR"/>
        </w:rPr>
        <w:t>Le Gouvernement indique ainsi que l</w:t>
      </w:r>
      <w:r w:rsidR="00826045" w:rsidRPr="005D3CD5">
        <w:rPr>
          <w:rFonts w:eastAsiaTheme="minorHAnsi"/>
          <w:lang w:val="fr-FR"/>
        </w:rPr>
        <w:t>a décision du juge d</w:t>
      </w:r>
      <w:r w:rsidR="00DF4B55" w:rsidRPr="005D3CD5">
        <w:rPr>
          <w:rFonts w:eastAsiaTheme="minorHAnsi"/>
          <w:lang w:val="fr-FR"/>
        </w:rPr>
        <w:t>e</w:t>
      </w:r>
      <w:r w:rsidR="00826045" w:rsidRPr="005D3CD5">
        <w:rPr>
          <w:rFonts w:eastAsiaTheme="minorHAnsi"/>
          <w:lang w:val="fr-FR"/>
        </w:rPr>
        <w:t xml:space="preserve"> </w:t>
      </w:r>
      <w:r w:rsidR="00DF4B55" w:rsidRPr="005D3CD5">
        <w:rPr>
          <w:rFonts w:eastAsiaTheme="minorHAnsi"/>
          <w:lang w:val="fr-FR"/>
        </w:rPr>
        <w:t xml:space="preserve">paix </w:t>
      </w:r>
      <w:r w:rsidR="00974684" w:rsidRPr="005D3CD5">
        <w:rPr>
          <w:rFonts w:eastAsiaTheme="minorHAnsi"/>
          <w:lang w:val="fr-FR"/>
        </w:rPr>
        <w:t xml:space="preserve">de Rome </w:t>
      </w:r>
      <w:r w:rsidR="00826045" w:rsidRPr="005D3CD5">
        <w:rPr>
          <w:rFonts w:eastAsiaTheme="minorHAnsi"/>
          <w:lang w:val="fr-FR"/>
        </w:rPr>
        <w:t>a été notifiée</w:t>
      </w:r>
      <w:r w:rsidR="00DF4B55" w:rsidRPr="005D3CD5">
        <w:rPr>
          <w:rFonts w:eastAsiaTheme="minorHAnsi"/>
          <w:lang w:val="fr-FR"/>
        </w:rPr>
        <w:t xml:space="preserve"> </w:t>
      </w:r>
      <w:r w:rsidR="00933AB7" w:rsidRPr="005D3CD5">
        <w:rPr>
          <w:rFonts w:eastAsiaTheme="minorHAnsi"/>
          <w:lang w:val="fr-FR"/>
        </w:rPr>
        <w:t xml:space="preserve">aux requérants </w:t>
      </w:r>
      <w:r w:rsidR="00DF4B55" w:rsidRPr="005D3CD5">
        <w:rPr>
          <w:rFonts w:eastAsiaTheme="minorHAnsi"/>
          <w:lang w:val="fr-FR"/>
        </w:rPr>
        <w:t xml:space="preserve">le 17 décembre 2008 et </w:t>
      </w:r>
      <w:r w:rsidR="00933AB7" w:rsidRPr="005D3CD5">
        <w:rPr>
          <w:rFonts w:eastAsiaTheme="minorHAnsi"/>
          <w:lang w:val="fr-FR"/>
        </w:rPr>
        <w:t xml:space="preserve">que </w:t>
      </w:r>
      <w:r w:rsidR="00826045" w:rsidRPr="005D3CD5">
        <w:rPr>
          <w:rFonts w:eastAsiaTheme="minorHAnsi"/>
          <w:lang w:val="fr-FR"/>
        </w:rPr>
        <w:t>l</w:t>
      </w:r>
      <w:r w:rsidR="00DF4B55" w:rsidRPr="005D3CD5">
        <w:rPr>
          <w:rFonts w:eastAsiaTheme="minorHAnsi"/>
          <w:lang w:val="fr-FR"/>
        </w:rPr>
        <w:t>a détention litigieuse a eu une durée globale inférieure à la limite légale</w:t>
      </w:r>
      <w:r w:rsidR="00826045" w:rsidRPr="005D3CD5">
        <w:rPr>
          <w:rFonts w:eastAsiaTheme="minorHAnsi"/>
          <w:lang w:val="fr-FR"/>
        </w:rPr>
        <w:t xml:space="preserve">. </w:t>
      </w:r>
      <w:r w:rsidR="00933AB7" w:rsidRPr="005D3CD5">
        <w:rPr>
          <w:rFonts w:eastAsiaTheme="minorHAnsi"/>
          <w:lang w:val="fr-FR"/>
        </w:rPr>
        <w:t xml:space="preserve">Il ajoute que, en tout état de cause, </w:t>
      </w:r>
      <w:r w:rsidR="00DF4B55" w:rsidRPr="005D3CD5">
        <w:rPr>
          <w:rFonts w:eastAsiaTheme="minorHAnsi"/>
          <w:lang w:val="fr-FR"/>
        </w:rPr>
        <w:t>les requérants ont</w:t>
      </w:r>
      <w:r w:rsidR="00826045" w:rsidRPr="005D3CD5">
        <w:rPr>
          <w:rFonts w:eastAsiaTheme="minorHAnsi"/>
          <w:lang w:val="fr-FR"/>
        </w:rPr>
        <w:t xml:space="preserve"> pu quitter le centre d</w:t>
      </w:r>
      <w:r w:rsidR="00DF4B55" w:rsidRPr="005D3CD5">
        <w:rPr>
          <w:rFonts w:eastAsiaTheme="minorHAnsi"/>
          <w:lang w:val="fr-FR"/>
        </w:rPr>
        <w:t>e</w:t>
      </w:r>
      <w:r w:rsidR="00826045" w:rsidRPr="005D3CD5">
        <w:rPr>
          <w:rFonts w:eastAsiaTheme="minorHAnsi"/>
          <w:lang w:val="fr-FR"/>
        </w:rPr>
        <w:t xml:space="preserve"> rétention</w:t>
      </w:r>
      <w:r w:rsidR="00DF4B55" w:rsidRPr="005D3CD5">
        <w:rPr>
          <w:rFonts w:eastAsiaTheme="minorHAnsi"/>
          <w:lang w:val="fr-FR"/>
        </w:rPr>
        <w:t xml:space="preserve"> </w:t>
      </w:r>
      <w:r w:rsidR="00933AB7" w:rsidRPr="005D3CD5">
        <w:rPr>
          <w:rFonts w:eastAsiaTheme="minorHAnsi"/>
          <w:lang w:val="fr-FR"/>
        </w:rPr>
        <w:t>le 14</w:t>
      </w:r>
      <w:r w:rsidR="00974684" w:rsidRPr="005D3CD5">
        <w:rPr>
          <w:rFonts w:eastAsiaTheme="minorHAnsi"/>
          <w:lang w:val="fr-FR"/>
        </w:rPr>
        <w:t> </w:t>
      </w:r>
      <w:r w:rsidR="00933AB7" w:rsidRPr="005D3CD5">
        <w:rPr>
          <w:rFonts w:eastAsiaTheme="minorHAnsi"/>
          <w:lang w:val="fr-FR"/>
        </w:rPr>
        <w:t>janvier 2009, donc quelques jours avant la date fixée par le juge de paix.</w:t>
      </w:r>
    </w:p>
    <w:p w:rsidR="00D70E68" w:rsidRPr="005D3CD5" w:rsidRDefault="00405C60"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59</w:t>
      </w:r>
      <w:r w:rsidRPr="005D3CD5">
        <w:rPr>
          <w:rFonts w:eastAsiaTheme="minorHAnsi"/>
          <w:lang w:val="fr-FR"/>
        </w:rPr>
        <w:fldChar w:fldCharType="end"/>
      </w:r>
      <w:r w:rsidRPr="005D3CD5">
        <w:rPr>
          <w:rFonts w:eastAsiaTheme="minorHAnsi"/>
          <w:lang w:val="fr-FR"/>
        </w:rPr>
        <w:t>.  </w:t>
      </w:r>
      <w:r w:rsidR="00E74D7B" w:rsidRPr="005D3CD5">
        <w:rPr>
          <w:rFonts w:eastAsiaTheme="minorHAnsi"/>
          <w:lang w:val="fr-FR"/>
        </w:rPr>
        <w:t>Quant à la décision</w:t>
      </w:r>
      <w:r w:rsidR="00B254F3" w:rsidRPr="005D3CD5">
        <w:rPr>
          <w:rFonts w:eastAsiaTheme="minorHAnsi"/>
          <w:lang w:val="fr-FR"/>
        </w:rPr>
        <w:t xml:space="preserve"> d</w:t>
      </w:r>
      <w:r w:rsidR="00E74D7B" w:rsidRPr="005D3CD5">
        <w:rPr>
          <w:rFonts w:eastAsiaTheme="minorHAnsi"/>
          <w:lang w:val="fr-FR"/>
        </w:rPr>
        <w:t>e la Cour de cassation reconnaissant que la prolongation</w:t>
      </w:r>
      <w:r w:rsidR="00B254F3" w:rsidRPr="005D3CD5">
        <w:rPr>
          <w:rFonts w:eastAsiaTheme="minorHAnsi"/>
          <w:lang w:val="fr-FR"/>
        </w:rPr>
        <w:t xml:space="preserve"> </w:t>
      </w:r>
      <w:r w:rsidR="004D5AE6" w:rsidRPr="005D3CD5">
        <w:rPr>
          <w:rFonts w:eastAsiaTheme="minorHAnsi"/>
          <w:lang w:val="fr-FR"/>
        </w:rPr>
        <w:t xml:space="preserve">de la détention </w:t>
      </w:r>
      <w:r w:rsidR="00B254F3" w:rsidRPr="005D3CD5">
        <w:rPr>
          <w:rFonts w:eastAsiaTheme="minorHAnsi"/>
          <w:lang w:val="fr-FR"/>
        </w:rPr>
        <w:t>n</w:t>
      </w:r>
      <w:r w:rsidR="005D3CD5" w:rsidRPr="005D3CD5">
        <w:rPr>
          <w:rFonts w:eastAsiaTheme="minorHAnsi"/>
          <w:lang w:val="fr-FR"/>
        </w:rPr>
        <w:t>’</w:t>
      </w:r>
      <w:r w:rsidR="00B254F3" w:rsidRPr="005D3CD5">
        <w:rPr>
          <w:rFonts w:eastAsiaTheme="minorHAnsi"/>
          <w:lang w:val="fr-FR"/>
        </w:rPr>
        <w:t>était pa</w:t>
      </w:r>
      <w:r w:rsidR="006D559C" w:rsidRPr="005D3CD5">
        <w:rPr>
          <w:rFonts w:eastAsiaTheme="minorHAnsi"/>
          <w:lang w:val="fr-FR"/>
        </w:rPr>
        <w:t xml:space="preserve">s conforme </w:t>
      </w:r>
      <w:r w:rsidR="00AE4D04" w:rsidRPr="005D3CD5">
        <w:rPr>
          <w:rFonts w:eastAsiaTheme="minorHAnsi"/>
          <w:lang w:val="fr-FR"/>
        </w:rPr>
        <w:t>aux principes du procès équitable, le Gouvernement affirme qu</w:t>
      </w:r>
      <w:r w:rsidR="005D3CD5" w:rsidRPr="005D3CD5">
        <w:rPr>
          <w:rFonts w:eastAsiaTheme="minorHAnsi"/>
          <w:lang w:val="fr-FR"/>
        </w:rPr>
        <w:t>’</w:t>
      </w:r>
      <w:r w:rsidR="00AE4D04" w:rsidRPr="005D3CD5">
        <w:rPr>
          <w:rFonts w:eastAsiaTheme="minorHAnsi"/>
          <w:lang w:val="fr-FR"/>
        </w:rPr>
        <w:t>elle se réf</w:t>
      </w:r>
      <w:r w:rsidR="004D5AE6" w:rsidRPr="005D3CD5">
        <w:rPr>
          <w:rFonts w:eastAsiaTheme="minorHAnsi"/>
          <w:lang w:val="fr-FR"/>
        </w:rPr>
        <w:t>érait</w:t>
      </w:r>
      <w:r w:rsidR="00B254F3" w:rsidRPr="005D3CD5">
        <w:rPr>
          <w:rFonts w:eastAsiaTheme="minorHAnsi"/>
          <w:lang w:val="fr-FR"/>
        </w:rPr>
        <w:t xml:space="preserve"> </w:t>
      </w:r>
      <w:r w:rsidR="006D559C" w:rsidRPr="005D3CD5">
        <w:rPr>
          <w:rFonts w:eastAsiaTheme="minorHAnsi"/>
          <w:lang w:val="fr-FR"/>
        </w:rPr>
        <w:t xml:space="preserve">aux principes fixés par la Cour </w:t>
      </w:r>
      <w:r w:rsidR="004D5AE6" w:rsidRPr="005D3CD5">
        <w:rPr>
          <w:rFonts w:eastAsiaTheme="minorHAnsi"/>
          <w:lang w:val="fr-FR"/>
        </w:rPr>
        <w:t>c</w:t>
      </w:r>
      <w:r w:rsidR="00AE4D04" w:rsidRPr="005D3CD5">
        <w:rPr>
          <w:rFonts w:eastAsiaTheme="minorHAnsi"/>
          <w:lang w:val="fr-FR"/>
        </w:rPr>
        <w:t>onstitutionnelle</w:t>
      </w:r>
      <w:r w:rsidR="004D5AE6" w:rsidRPr="005D3CD5">
        <w:rPr>
          <w:rFonts w:eastAsiaTheme="minorHAnsi"/>
          <w:lang w:val="fr-FR"/>
        </w:rPr>
        <w:t xml:space="preserve"> dans un précédent arrêt</w:t>
      </w:r>
      <w:r w:rsidR="006D559C" w:rsidRPr="005D3CD5">
        <w:rPr>
          <w:rFonts w:eastAsiaTheme="minorHAnsi"/>
          <w:lang w:val="fr-FR"/>
        </w:rPr>
        <w:t>.</w:t>
      </w:r>
    </w:p>
    <w:p w:rsidR="00D70E68" w:rsidRPr="005D3CD5" w:rsidRDefault="00D70E68"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60</w:t>
      </w:r>
      <w:r w:rsidRPr="005D3CD5">
        <w:rPr>
          <w:rFonts w:eastAsiaTheme="minorHAnsi"/>
          <w:lang w:val="fr-FR"/>
        </w:rPr>
        <w:fldChar w:fldCharType="end"/>
      </w:r>
      <w:r w:rsidRPr="005D3CD5">
        <w:rPr>
          <w:rFonts w:eastAsiaTheme="minorHAnsi"/>
          <w:lang w:val="fr-FR"/>
        </w:rPr>
        <w:t>.  </w:t>
      </w:r>
      <w:r w:rsidR="00503726" w:rsidRPr="005D3CD5">
        <w:rPr>
          <w:rFonts w:eastAsiaTheme="minorHAnsi"/>
          <w:lang w:val="fr-FR"/>
        </w:rPr>
        <w:t>Enfin, s</w:t>
      </w:r>
      <w:r w:rsidR="006D559C" w:rsidRPr="005D3CD5">
        <w:rPr>
          <w:rFonts w:eastAsiaTheme="minorHAnsi"/>
          <w:lang w:val="fr-FR"/>
        </w:rPr>
        <w:t xml:space="preserve">elon le </w:t>
      </w:r>
      <w:r w:rsidR="00B254F3" w:rsidRPr="005D3CD5">
        <w:rPr>
          <w:rFonts w:eastAsiaTheme="minorHAnsi"/>
          <w:lang w:val="fr-FR"/>
        </w:rPr>
        <w:t>Gouvernement</w:t>
      </w:r>
      <w:r w:rsidR="006D559C" w:rsidRPr="005D3CD5">
        <w:rPr>
          <w:rFonts w:eastAsiaTheme="minorHAnsi"/>
          <w:lang w:val="fr-FR"/>
        </w:rPr>
        <w:t>, les juridictions internes ont constaté qu</w:t>
      </w:r>
      <w:r w:rsidR="005D3CD5" w:rsidRPr="005D3CD5">
        <w:rPr>
          <w:rFonts w:eastAsiaTheme="minorHAnsi"/>
          <w:lang w:val="fr-FR"/>
        </w:rPr>
        <w:t>’</w:t>
      </w:r>
      <w:r w:rsidR="006D559C" w:rsidRPr="005D3CD5">
        <w:rPr>
          <w:rFonts w:eastAsiaTheme="minorHAnsi"/>
          <w:lang w:val="fr-FR"/>
        </w:rPr>
        <w:t xml:space="preserve">il y avait eu violation </w:t>
      </w:r>
      <w:r w:rsidR="00B254F3" w:rsidRPr="005D3CD5">
        <w:rPr>
          <w:rFonts w:eastAsiaTheme="minorHAnsi"/>
          <w:lang w:val="fr-FR"/>
        </w:rPr>
        <w:t xml:space="preserve">de la Convention </w:t>
      </w:r>
      <w:r w:rsidR="006D559C" w:rsidRPr="005D3CD5">
        <w:rPr>
          <w:rFonts w:eastAsiaTheme="minorHAnsi"/>
          <w:lang w:val="fr-FR"/>
        </w:rPr>
        <w:t xml:space="preserve">et ont redressé </w:t>
      </w:r>
      <w:r w:rsidR="00503726" w:rsidRPr="005D3CD5">
        <w:rPr>
          <w:rFonts w:eastAsiaTheme="minorHAnsi"/>
          <w:lang w:val="fr-FR"/>
        </w:rPr>
        <w:t>ce manquement</w:t>
      </w:r>
      <w:r w:rsidR="006D559C" w:rsidRPr="005D3CD5">
        <w:rPr>
          <w:rFonts w:eastAsiaTheme="minorHAnsi"/>
          <w:lang w:val="fr-FR"/>
        </w:rPr>
        <w:t xml:space="preserve">. De plus, le </w:t>
      </w:r>
      <w:r w:rsidR="004D5AE6" w:rsidRPr="005D3CD5">
        <w:rPr>
          <w:rFonts w:eastAsiaTheme="minorHAnsi"/>
          <w:lang w:val="fr-FR"/>
        </w:rPr>
        <w:t>m</w:t>
      </w:r>
      <w:r w:rsidR="00B254F3" w:rsidRPr="005D3CD5">
        <w:rPr>
          <w:rFonts w:eastAsiaTheme="minorHAnsi"/>
          <w:lang w:val="fr-FR"/>
        </w:rPr>
        <w:t>inistre de l</w:t>
      </w:r>
      <w:r w:rsidR="005D3CD5" w:rsidRPr="005D3CD5">
        <w:rPr>
          <w:rFonts w:eastAsiaTheme="minorHAnsi"/>
          <w:lang w:val="fr-FR"/>
        </w:rPr>
        <w:t>’</w:t>
      </w:r>
      <w:r w:rsidR="004D5AE6" w:rsidRPr="005D3CD5">
        <w:rPr>
          <w:rFonts w:eastAsiaTheme="minorHAnsi"/>
          <w:lang w:val="fr-FR"/>
        </w:rPr>
        <w:t>I</w:t>
      </w:r>
      <w:r w:rsidR="00AE4D04" w:rsidRPr="005D3CD5">
        <w:rPr>
          <w:rFonts w:eastAsiaTheme="minorHAnsi"/>
          <w:lang w:val="fr-FR"/>
        </w:rPr>
        <w:t>ntérieur</w:t>
      </w:r>
      <w:r w:rsidR="006D559C" w:rsidRPr="005D3CD5">
        <w:rPr>
          <w:rFonts w:eastAsiaTheme="minorHAnsi"/>
          <w:lang w:val="fr-FR"/>
        </w:rPr>
        <w:t xml:space="preserve"> a</w:t>
      </w:r>
      <w:r w:rsidR="004D5AE6" w:rsidRPr="005D3CD5">
        <w:rPr>
          <w:rFonts w:eastAsiaTheme="minorHAnsi"/>
          <w:lang w:val="fr-FR"/>
        </w:rPr>
        <w:t>urait</w:t>
      </w:r>
      <w:r w:rsidR="006D559C" w:rsidRPr="005D3CD5">
        <w:rPr>
          <w:rFonts w:eastAsiaTheme="minorHAnsi"/>
          <w:lang w:val="fr-FR"/>
        </w:rPr>
        <w:t xml:space="preserve"> invité tous les </w:t>
      </w:r>
      <w:r w:rsidR="009E275D" w:rsidRPr="005D3CD5">
        <w:rPr>
          <w:rFonts w:eastAsiaTheme="minorHAnsi"/>
          <w:lang w:val="fr-FR"/>
        </w:rPr>
        <w:t>policiers</w:t>
      </w:r>
      <w:r w:rsidR="00B254F3" w:rsidRPr="005D3CD5">
        <w:rPr>
          <w:rFonts w:eastAsiaTheme="minorHAnsi"/>
          <w:lang w:val="fr-FR"/>
        </w:rPr>
        <w:t xml:space="preserve"> </w:t>
      </w:r>
      <w:r w:rsidR="00BF6B4E" w:rsidRPr="005D3CD5">
        <w:rPr>
          <w:rFonts w:eastAsiaTheme="minorHAnsi"/>
          <w:lang w:val="fr-FR"/>
        </w:rPr>
        <w:t>à</w:t>
      </w:r>
      <w:r w:rsidR="00B254F3" w:rsidRPr="005D3CD5">
        <w:rPr>
          <w:rFonts w:eastAsiaTheme="minorHAnsi"/>
          <w:lang w:val="fr-FR"/>
        </w:rPr>
        <w:t xml:space="preserve"> respecter les principe</w:t>
      </w:r>
      <w:r w:rsidR="006D559C" w:rsidRPr="005D3CD5">
        <w:rPr>
          <w:rFonts w:eastAsiaTheme="minorHAnsi"/>
          <w:lang w:val="fr-FR"/>
        </w:rPr>
        <w:t xml:space="preserve">s fixés </w:t>
      </w:r>
      <w:r w:rsidR="00BF6B4E" w:rsidRPr="005D3CD5">
        <w:rPr>
          <w:rFonts w:eastAsiaTheme="minorHAnsi"/>
          <w:lang w:val="fr-FR"/>
        </w:rPr>
        <w:t>par la Cour de c</w:t>
      </w:r>
      <w:r w:rsidR="00B254F3" w:rsidRPr="005D3CD5">
        <w:rPr>
          <w:rFonts w:eastAsiaTheme="minorHAnsi"/>
          <w:lang w:val="fr-FR"/>
        </w:rPr>
        <w:t>assation et la C</w:t>
      </w:r>
      <w:r w:rsidR="006D559C" w:rsidRPr="005D3CD5">
        <w:rPr>
          <w:rFonts w:eastAsiaTheme="minorHAnsi"/>
          <w:lang w:val="fr-FR"/>
        </w:rPr>
        <w:t>onvention.</w:t>
      </w:r>
    </w:p>
    <w:p w:rsidR="00D158AE" w:rsidRPr="005D3CD5" w:rsidRDefault="00D70E68" w:rsidP="005D3CD5">
      <w:pPr>
        <w:pStyle w:val="ECHRHeading4"/>
        <w:rPr>
          <w:rFonts w:eastAsiaTheme="minorHAnsi"/>
          <w:lang w:val="fr-FR"/>
        </w:rPr>
      </w:pPr>
      <w:r w:rsidRPr="005D3CD5">
        <w:rPr>
          <w:rFonts w:eastAsiaTheme="minorHAnsi"/>
          <w:lang w:val="fr-FR"/>
        </w:rPr>
        <w:t>c)</w:t>
      </w:r>
      <w:r w:rsidR="00B120E7" w:rsidRPr="005D3CD5">
        <w:rPr>
          <w:rFonts w:eastAsiaTheme="minorHAnsi"/>
          <w:lang w:val="fr-FR"/>
        </w:rPr>
        <w:t>  </w:t>
      </w:r>
      <w:r w:rsidR="009D7B9E" w:rsidRPr="005D3CD5">
        <w:rPr>
          <w:rFonts w:eastAsiaTheme="minorHAnsi"/>
          <w:lang w:val="fr-FR"/>
        </w:rPr>
        <w:t>Le</w:t>
      </w:r>
      <w:r w:rsidR="00D158AE" w:rsidRPr="005D3CD5">
        <w:rPr>
          <w:rFonts w:eastAsiaTheme="minorHAnsi"/>
          <w:lang w:val="fr-FR"/>
        </w:rPr>
        <w:t xml:space="preserve"> tiers intervenant</w:t>
      </w:r>
    </w:p>
    <w:p w:rsidR="00A40AC0" w:rsidRPr="005D3CD5" w:rsidRDefault="00251124"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61</w:t>
      </w:r>
      <w:r w:rsidRPr="005D3CD5">
        <w:rPr>
          <w:rFonts w:eastAsiaTheme="minorHAnsi"/>
          <w:lang w:val="fr-FR"/>
        </w:rPr>
        <w:fldChar w:fldCharType="end"/>
      </w:r>
      <w:r w:rsidRPr="005D3CD5">
        <w:rPr>
          <w:rFonts w:eastAsiaTheme="minorHAnsi"/>
          <w:lang w:val="fr-FR"/>
        </w:rPr>
        <w:t>.  </w:t>
      </w:r>
      <w:r w:rsidR="00A40AC0" w:rsidRPr="005D3CD5">
        <w:rPr>
          <w:rFonts w:eastAsiaTheme="minorHAnsi"/>
          <w:lang w:val="fr-FR"/>
        </w:rPr>
        <w:t>L</w:t>
      </w:r>
      <w:r w:rsidR="005D3CD5" w:rsidRPr="005D3CD5">
        <w:rPr>
          <w:rFonts w:eastAsiaTheme="minorHAnsi"/>
          <w:lang w:val="fr-FR"/>
        </w:rPr>
        <w:t>’</w:t>
      </w:r>
      <w:r w:rsidR="004D5AE6" w:rsidRPr="005D3CD5">
        <w:rPr>
          <w:rFonts w:eastAsiaTheme="minorHAnsi"/>
          <w:lang w:val="fr-FR"/>
        </w:rPr>
        <w:t>ICJ</w:t>
      </w:r>
      <w:r w:rsidR="00A40AC0" w:rsidRPr="005D3CD5">
        <w:rPr>
          <w:rFonts w:eastAsiaTheme="minorHAnsi"/>
          <w:lang w:val="fr-FR"/>
        </w:rPr>
        <w:t xml:space="preserve"> a adressé à la Cour un rapport intitulé « </w:t>
      </w:r>
      <w:r w:rsidR="00A40AC0" w:rsidRPr="005D3CD5">
        <w:rPr>
          <w:rFonts w:eastAsiaTheme="minorHAnsi"/>
          <w:i/>
          <w:lang w:val="fr-FR"/>
        </w:rPr>
        <w:t>Undocumented, justice pour les migrants en Italie</w:t>
      </w:r>
      <w:r w:rsidRPr="005D3CD5">
        <w:rPr>
          <w:rFonts w:eastAsiaTheme="minorHAnsi"/>
          <w:lang w:val="fr-FR"/>
        </w:rPr>
        <w:t xml:space="preserve"> »</w:t>
      </w:r>
      <w:r w:rsidR="00A40AC0" w:rsidRPr="005D3CD5">
        <w:rPr>
          <w:rFonts w:eastAsiaTheme="minorHAnsi"/>
          <w:lang w:val="fr-FR"/>
        </w:rPr>
        <w:t xml:space="preserve">, portant sur </w:t>
      </w:r>
      <w:r w:rsidR="001327B7" w:rsidRPr="005D3CD5">
        <w:rPr>
          <w:rFonts w:eastAsiaTheme="minorHAnsi"/>
          <w:lang w:val="fr-FR"/>
        </w:rPr>
        <w:t>une</w:t>
      </w:r>
      <w:r w:rsidR="00A40AC0" w:rsidRPr="005D3CD5">
        <w:rPr>
          <w:rFonts w:eastAsiaTheme="minorHAnsi"/>
          <w:lang w:val="fr-FR"/>
        </w:rPr>
        <w:t xml:space="preserve"> visite </w:t>
      </w:r>
      <w:r w:rsidR="00AC20CE" w:rsidRPr="005D3CD5">
        <w:rPr>
          <w:rFonts w:eastAsiaTheme="minorHAnsi"/>
          <w:lang w:val="fr-FR"/>
        </w:rPr>
        <w:t xml:space="preserve">effectuée </w:t>
      </w:r>
      <w:r w:rsidR="00A40AC0" w:rsidRPr="005D3CD5">
        <w:rPr>
          <w:rFonts w:eastAsiaTheme="minorHAnsi"/>
          <w:lang w:val="fr-FR"/>
        </w:rPr>
        <w:t xml:space="preserve">en Italie en juin 2014 et évaluant la pratique suivie par les autorités </w:t>
      </w:r>
      <w:r w:rsidRPr="005D3CD5">
        <w:rPr>
          <w:rFonts w:eastAsiaTheme="minorHAnsi"/>
          <w:lang w:val="fr-FR"/>
        </w:rPr>
        <w:t xml:space="preserve">italiennes </w:t>
      </w:r>
      <w:r w:rsidR="00A40AC0" w:rsidRPr="005D3CD5">
        <w:rPr>
          <w:rFonts w:eastAsiaTheme="minorHAnsi"/>
          <w:lang w:val="fr-FR"/>
        </w:rPr>
        <w:t>en matière d</w:t>
      </w:r>
      <w:r w:rsidR="005D3CD5" w:rsidRPr="005D3CD5">
        <w:rPr>
          <w:rFonts w:eastAsiaTheme="minorHAnsi"/>
          <w:lang w:val="fr-FR"/>
        </w:rPr>
        <w:t>’</w:t>
      </w:r>
      <w:r w:rsidR="00A40AC0" w:rsidRPr="005D3CD5">
        <w:rPr>
          <w:rFonts w:eastAsiaTheme="minorHAnsi"/>
          <w:lang w:val="fr-FR"/>
        </w:rPr>
        <w:t>immigration et d</w:t>
      </w:r>
      <w:r w:rsidR="005D3CD5" w:rsidRPr="005D3CD5">
        <w:rPr>
          <w:rFonts w:eastAsiaTheme="minorHAnsi"/>
          <w:lang w:val="fr-FR"/>
        </w:rPr>
        <w:t>’</w:t>
      </w:r>
      <w:r w:rsidR="00A40AC0" w:rsidRPr="005D3CD5">
        <w:rPr>
          <w:rFonts w:eastAsiaTheme="minorHAnsi"/>
          <w:lang w:val="fr-FR"/>
        </w:rPr>
        <w:t>asile</w:t>
      </w:r>
      <w:r w:rsidR="00AE4D04" w:rsidRPr="005D3CD5">
        <w:rPr>
          <w:rFonts w:eastAsiaTheme="minorHAnsi"/>
          <w:lang w:val="fr-FR"/>
        </w:rPr>
        <w:t>.</w:t>
      </w:r>
    </w:p>
    <w:p w:rsidR="00D8202C" w:rsidRPr="005D3CD5" w:rsidRDefault="00AE4D04"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62</w:t>
      </w:r>
      <w:r w:rsidRPr="005D3CD5">
        <w:rPr>
          <w:rFonts w:eastAsiaTheme="minorHAnsi"/>
          <w:lang w:val="fr-FR"/>
        </w:rPr>
        <w:fldChar w:fldCharType="end"/>
      </w:r>
      <w:r w:rsidRPr="005D3CD5">
        <w:rPr>
          <w:rFonts w:eastAsiaTheme="minorHAnsi"/>
          <w:lang w:val="fr-FR"/>
        </w:rPr>
        <w:t>.  </w:t>
      </w:r>
      <w:r w:rsidR="001327B7" w:rsidRPr="005D3CD5">
        <w:rPr>
          <w:rFonts w:eastAsiaTheme="minorHAnsi"/>
          <w:lang w:val="fr-FR"/>
        </w:rPr>
        <w:t>Dans son</w:t>
      </w:r>
      <w:r w:rsidRPr="005D3CD5">
        <w:rPr>
          <w:rFonts w:eastAsiaTheme="minorHAnsi"/>
          <w:lang w:val="fr-FR"/>
        </w:rPr>
        <w:t xml:space="preserve"> rapport</w:t>
      </w:r>
      <w:r w:rsidR="001327B7" w:rsidRPr="005D3CD5">
        <w:rPr>
          <w:rFonts w:eastAsiaTheme="minorHAnsi"/>
          <w:lang w:val="fr-FR"/>
        </w:rPr>
        <w:t xml:space="preserve">, </w:t>
      </w:r>
      <w:r w:rsidRPr="005D3CD5">
        <w:rPr>
          <w:rFonts w:eastAsiaTheme="minorHAnsi"/>
          <w:lang w:val="fr-FR"/>
        </w:rPr>
        <w:t>l</w:t>
      </w:r>
      <w:r w:rsidR="005D3CD5" w:rsidRPr="005D3CD5">
        <w:rPr>
          <w:rFonts w:eastAsiaTheme="minorHAnsi"/>
          <w:lang w:val="fr-FR"/>
        </w:rPr>
        <w:t>’</w:t>
      </w:r>
      <w:r w:rsidR="004D5AE6" w:rsidRPr="005D3CD5">
        <w:rPr>
          <w:rFonts w:eastAsiaTheme="minorHAnsi"/>
          <w:lang w:val="fr-FR"/>
        </w:rPr>
        <w:t>ICJ</w:t>
      </w:r>
      <w:r w:rsidRPr="005D3CD5">
        <w:rPr>
          <w:rFonts w:eastAsiaTheme="minorHAnsi"/>
          <w:lang w:val="fr-FR"/>
        </w:rPr>
        <w:t xml:space="preserve"> s</w:t>
      </w:r>
      <w:r w:rsidR="005D3CD5" w:rsidRPr="005D3CD5">
        <w:rPr>
          <w:rFonts w:eastAsiaTheme="minorHAnsi"/>
          <w:lang w:val="fr-FR"/>
        </w:rPr>
        <w:t>’</w:t>
      </w:r>
      <w:r w:rsidRPr="005D3CD5">
        <w:rPr>
          <w:rFonts w:eastAsiaTheme="minorHAnsi"/>
          <w:lang w:val="fr-FR"/>
        </w:rPr>
        <w:t>inquiète du fait que, dès leur arrivée en Italie, les migrants sans papiers se voient automatiquement notifier une décision d</w:t>
      </w:r>
      <w:r w:rsidR="005D3CD5" w:rsidRPr="005D3CD5">
        <w:rPr>
          <w:rFonts w:eastAsiaTheme="minorHAnsi"/>
          <w:lang w:val="fr-FR"/>
        </w:rPr>
        <w:t>’</w:t>
      </w:r>
      <w:r w:rsidRPr="005D3CD5">
        <w:rPr>
          <w:rFonts w:eastAsiaTheme="minorHAnsi"/>
          <w:lang w:val="fr-FR"/>
        </w:rPr>
        <w:t xml:space="preserve">expulsion </w:t>
      </w:r>
      <w:r w:rsidR="00D8202C" w:rsidRPr="005D3CD5">
        <w:rPr>
          <w:rFonts w:eastAsiaTheme="minorHAnsi"/>
          <w:lang w:val="fr-FR"/>
        </w:rPr>
        <w:t>et son</w:t>
      </w:r>
      <w:r w:rsidR="009E275D" w:rsidRPr="005D3CD5">
        <w:rPr>
          <w:rFonts w:eastAsiaTheme="minorHAnsi"/>
          <w:lang w:val="fr-FR"/>
        </w:rPr>
        <w:t>t</w:t>
      </w:r>
      <w:r w:rsidR="00D8202C" w:rsidRPr="005D3CD5">
        <w:rPr>
          <w:rFonts w:eastAsiaTheme="minorHAnsi"/>
          <w:lang w:val="fr-FR"/>
        </w:rPr>
        <w:t xml:space="preserve"> placés dans des </w:t>
      </w:r>
      <w:r w:rsidR="009E275D" w:rsidRPr="005D3CD5">
        <w:rPr>
          <w:rFonts w:eastAsiaTheme="minorHAnsi"/>
          <w:lang w:val="fr-FR"/>
        </w:rPr>
        <w:t>centres</w:t>
      </w:r>
      <w:r w:rsidR="00D8202C" w:rsidRPr="005D3CD5">
        <w:rPr>
          <w:rFonts w:eastAsiaTheme="minorHAnsi"/>
          <w:lang w:val="fr-FR"/>
        </w:rPr>
        <w:t xml:space="preserve"> de rétention. </w:t>
      </w:r>
      <w:r w:rsidR="001327B7" w:rsidRPr="005D3CD5">
        <w:rPr>
          <w:rFonts w:eastAsiaTheme="minorHAnsi"/>
          <w:lang w:val="fr-FR"/>
        </w:rPr>
        <w:t xml:space="preserve">Elle souligne </w:t>
      </w:r>
      <w:r w:rsidR="00E35B98" w:rsidRPr="005D3CD5">
        <w:rPr>
          <w:rFonts w:eastAsiaTheme="minorHAnsi"/>
          <w:lang w:val="fr-FR"/>
        </w:rPr>
        <w:t xml:space="preserve">en particulier </w:t>
      </w:r>
      <w:r w:rsidR="001327B7" w:rsidRPr="005D3CD5">
        <w:rPr>
          <w:rFonts w:eastAsiaTheme="minorHAnsi"/>
          <w:lang w:val="fr-FR"/>
        </w:rPr>
        <w:t>qu</w:t>
      </w:r>
      <w:r w:rsidR="005D3CD5" w:rsidRPr="005D3CD5">
        <w:rPr>
          <w:rFonts w:eastAsiaTheme="minorHAnsi"/>
          <w:lang w:val="fr-FR"/>
        </w:rPr>
        <w:t>’</w:t>
      </w:r>
      <w:r w:rsidR="001327B7" w:rsidRPr="005D3CD5">
        <w:rPr>
          <w:rFonts w:eastAsiaTheme="minorHAnsi"/>
          <w:lang w:val="fr-FR"/>
        </w:rPr>
        <w:t>il</w:t>
      </w:r>
      <w:r w:rsidR="00D8202C" w:rsidRPr="005D3CD5">
        <w:rPr>
          <w:rFonts w:eastAsiaTheme="minorHAnsi"/>
          <w:lang w:val="fr-FR"/>
        </w:rPr>
        <w:t xml:space="preserve"> s</w:t>
      </w:r>
      <w:r w:rsidR="005D3CD5" w:rsidRPr="005D3CD5">
        <w:rPr>
          <w:rFonts w:eastAsiaTheme="minorHAnsi"/>
          <w:lang w:val="fr-FR"/>
        </w:rPr>
        <w:t>’</w:t>
      </w:r>
      <w:r w:rsidR="00D8202C" w:rsidRPr="005D3CD5">
        <w:rPr>
          <w:rFonts w:eastAsiaTheme="minorHAnsi"/>
          <w:lang w:val="fr-FR"/>
        </w:rPr>
        <w:t>avère très difficile de trouver des interprètes et que les décision</w:t>
      </w:r>
      <w:r w:rsidR="000C2734" w:rsidRPr="005D3CD5">
        <w:rPr>
          <w:rFonts w:eastAsiaTheme="minorHAnsi"/>
          <w:lang w:val="fr-FR"/>
        </w:rPr>
        <w:t>s</w:t>
      </w:r>
      <w:r w:rsidR="00D8202C" w:rsidRPr="005D3CD5">
        <w:rPr>
          <w:rFonts w:eastAsiaTheme="minorHAnsi"/>
          <w:lang w:val="fr-FR"/>
        </w:rPr>
        <w:t xml:space="preserve"> des juges de paix </w:t>
      </w:r>
      <w:r w:rsidR="001327B7" w:rsidRPr="005D3CD5">
        <w:rPr>
          <w:rFonts w:eastAsiaTheme="minorHAnsi"/>
          <w:lang w:val="fr-FR"/>
        </w:rPr>
        <w:t>sont stéréotypées et non</w:t>
      </w:r>
      <w:r w:rsidR="00D8202C" w:rsidRPr="005D3CD5">
        <w:rPr>
          <w:rFonts w:eastAsiaTheme="minorHAnsi"/>
          <w:lang w:val="fr-FR"/>
        </w:rPr>
        <w:t xml:space="preserve"> motivées. </w:t>
      </w:r>
      <w:r w:rsidR="000C2734" w:rsidRPr="005D3CD5">
        <w:rPr>
          <w:rFonts w:eastAsiaTheme="minorHAnsi"/>
          <w:lang w:val="fr-FR"/>
        </w:rPr>
        <w:t>Elle indique que l</w:t>
      </w:r>
      <w:r w:rsidR="00D8202C" w:rsidRPr="005D3CD5">
        <w:rPr>
          <w:rFonts w:eastAsiaTheme="minorHAnsi"/>
          <w:lang w:val="fr-FR"/>
        </w:rPr>
        <w:t>e placement dans un centre d</w:t>
      </w:r>
      <w:r w:rsidR="00792DAB" w:rsidRPr="005D3CD5">
        <w:rPr>
          <w:rFonts w:eastAsiaTheme="minorHAnsi"/>
          <w:lang w:val="fr-FR"/>
        </w:rPr>
        <w:t>e</w:t>
      </w:r>
      <w:r w:rsidR="00D8202C" w:rsidRPr="005D3CD5">
        <w:rPr>
          <w:rFonts w:eastAsiaTheme="minorHAnsi"/>
          <w:lang w:val="fr-FR"/>
        </w:rPr>
        <w:t xml:space="preserve"> </w:t>
      </w:r>
      <w:r w:rsidR="00792DAB" w:rsidRPr="005D3CD5">
        <w:rPr>
          <w:rFonts w:eastAsiaTheme="minorHAnsi"/>
          <w:lang w:val="fr-FR"/>
        </w:rPr>
        <w:t>rétention</w:t>
      </w:r>
      <w:r w:rsidR="00D8202C" w:rsidRPr="005D3CD5">
        <w:rPr>
          <w:rFonts w:eastAsiaTheme="minorHAnsi"/>
          <w:lang w:val="fr-FR"/>
        </w:rPr>
        <w:t xml:space="preserve"> peut </w:t>
      </w:r>
      <w:r w:rsidR="00792DAB" w:rsidRPr="005D3CD5">
        <w:rPr>
          <w:rFonts w:eastAsiaTheme="minorHAnsi"/>
          <w:lang w:val="fr-FR"/>
        </w:rPr>
        <w:t>être</w:t>
      </w:r>
      <w:r w:rsidR="00D8202C" w:rsidRPr="005D3CD5">
        <w:rPr>
          <w:rFonts w:eastAsiaTheme="minorHAnsi"/>
          <w:lang w:val="fr-FR"/>
        </w:rPr>
        <w:t xml:space="preserve"> prorogé jusqu</w:t>
      </w:r>
      <w:r w:rsidR="005D3CD5" w:rsidRPr="005D3CD5">
        <w:rPr>
          <w:rFonts w:eastAsiaTheme="minorHAnsi"/>
          <w:lang w:val="fr-FR"/>
        </w:rPr>
        <w:t>’</w:t>
      </w:r>
      <w:r w:rsidR="00D8202C" w:rsidRPr="005D3CD5">
        <w:rPr>
          <w:rFonts w:eastAsiaTheme="minorHAnsi"/>
          <w:lang w:val="fr-FR"/>
        </w:rPr>
        <w:t xml:space="preserve">à huit </w:t>
      </w:r>
      <w:r w:rsidR="00792DAB" w:rsidRPr="005D3CD5">
        <w:rPr>
          <w:rFonts w:eastAsiaTheme="minorHAnsi"/>
          <w:lang w:val="fr-FR"/>
        </w:rPr>
        <w:t>mois</w:t>
      </w:r>
      <w:r w:rsidR="00D8202C" w:rsidRPr="005D3CD5">
        <w:rPr>
          <w:rFonts w:eastAsiaTheme="minorHAnsi"/>
          <w:lang w:val="fr-FR"/>
        </w:rPr>
        <w:t xml:space="preserve"> s</w:t>
      </w:r>
      <w:r w:rsidR="005D3CD5" w:rsidRPr="005D3CD5">
        <w:rPr>
          <w:rFonts w:eastAsiaTheme="minorHAnsi"/>
          <w:lang w:val="fr-FR"/>
        </w:rPr>
        <w:t>’</w:t>
      </w:r>
      <w:r w:rsidR="000C2734" w:rsidRPr="005D3CD5">
        <w:rPr>
          <w:rFonts w:eastAsiaTheme="minorHAnsi"/>
          <w:lang w:val="fr-FR"/>
        </w:rPr>
        <w:t>il</w:t>
      </w:r>
      <w:r w:rsidR="00D8202C" w:rsidRPr="005D3CD5">
        <w:rPr>
          <w:rFonts w:eastAsiaTheme="minorHAnsi"/>
          <w:lang w:val="fr-FR"/>
        </w:rPr>
        <w:t xml:space="preserve"> n</w:t>
      </w:r>
      <w:r w:rsidR="005D3CD5" w:rsidRPr="005D3CD5">
        <w:rPr>
          <w:rFonts w:eastAsiaTheme="minorHAnsi"/>
          <w:lang w:val="fr-FR"/>
        </w:rPr>
        <w:t>’</w:t>
      </w:r>
      <w:r w:rsidR="00D8202C" w:rsidRPr="005D3CD5">
        <w:rPr>
          <w:rFonts w:eastAsiaTheme="minorHAnsi"/>
          <w:lang w:val="fr-FR"/>
        </w:rPr>
        <w:t>est pas possible d</w:t>
      </w:r>
      <w:r w:rsidR="005D3CD5" w:rsidRPr="005D3CD5">
        <w:rPr>
          <w:rFonts w:eastAsiaTheme="minorHAnsi"/>
          <w:lang w:val="fr-FR"/>
        </w:rPr>
        <w:t>’</w:t>
      </w:r>
      <w:r w:rsidR="00792DAB" w:rsidRPr="005D3CD5">
        <w:rPr>
          <w:rFonts w:eastAsiaTheme="minorHAnsi"/>
          <w:lang w:val="fr-FR"/>
        </w:rPr>
        <w:t>exécuter</w:t>
      </w:r>
      <w:r w:rsidR="00D8202C" w:rsidRPr="005D3CD5">
        <w:rPr>
          <w:rFonts w:eastAsiaTheme="minorHAnsi"/>
          <w:lang w:val="fr-FR"/>
        </w:rPr>
        <w:t xml:space="preserve"> l</w:t>
      </w:r>
      <w:r w:rsidR="005D3CD5" w:rsidRPr="005D3CD5">
        <w:rPr>
          <w:rFonts w:eastAsiaTheme="minorHAnsi"/>
          <w:lang w:val="fr-FR"/>
        </w:rPr>
        <w:t>’</w:t>
      </w:r>
      <w:r w:rsidR="00D8202C" w:rsidRPr="005D3CD5">
        <w:rPr>
          <w:rFonts w:eastAsiaTheme="minorHAnsi"/>
          <w:lang w:val="fr-FR"/>
        </w:rPr>
        <w:t>expulsion en raison d</w:t>
      </w:r>
      <w:r w:rsidR="005D3CD5" w:rsidRPr="005D3CD5">
        <w:rPr>
          <w:rFonts w:eastAsiaTheme="minorHAnsi"/>
          <w:lang w:val="fr-FR"/>
        </w:rPr>
        <w:t>’</w:t>
      </w:r>
      <w:r w:rsidR="000C2734" w:rsidRPr="005D3CD5">
        <w:rPr>
          <w:rFonts w:eastAsiaTheme="minorHAnsi"/>
          <w:lang w:val="fr-FR"/>
        </w:rPr>
        <w:t>un</w:t>
      </w:r>
      <w:r w:rsidR="00D8202C" w:rsidRPr="005D3CD5">
        <w:rPr>
          <w:rFonts w:eastAsiaTheme="minorHAnsi"/>
          <w:lang w:val="fr-FR"/>
        </w:rPr>
        <w:t xml:space="preserve"> manque de </w:t>
      </w:r>
      <w:r w:rsidR="00792DAB" w:rsidRPr="005D3CD5">
        <w:rPr>
          <w:rFonts w:eastAsiaTheme="minorHAnsi"/>
          <w:lang w:val="fr-FR"/>
        </w:rPr>
        <w:t>coopération</w:t>
      </w:r>
      <w:r w:rsidR="00D8202C" w:rsidRPr="005D3CD5">
        <w:rPr>
          <w:rFonts w:eastAsiaTheme="minorHAnsi"/>
          <w:lang w:val="fr-FR"/>
        </w:rPr>
        <w:t xml:space="preserve"> de l</w:t>
      </w:r>
      <w:r w:rsidR="005D3CD5" w:rsidRPr="005D3CD5">
        <w:rPr>
          <w:rFonts w:eastAsiaTheme="minorHAnsi"/>
          <w:lang w:val="fr-FR"/>
        </w:rPr>
        <w:t>’</w:t>
      </w:r>
      <w:r w:rsidR="00D8202C" w:rsidRPr="005D3CD5">
        <w:rPr>
          <w:rFonts w:eastAsiaTheme="minorHAnsi"/>
          <w:lang w:val="fr-FR"/>
        </w:rPr>
        <w:t>immigré ou de difficultés dans la procédure d</w:t>
      </w:r>
      <w:r w:rsidR="005D3CD5" w:rsidRPr="005D3CD5">
        <w:rPr>
          <w:rFonts w:eastAsiaTheme="minorHAnsi"/>
          <w:lang w:val="fr-FR"/>
        </w:rPr>
        <w:t>’</w:t>
      </w:r>
      <w:r w:rsidR="00D8202C" w:rsidRPr="005D3CD5">
        <w:rPr>
          <w:rFonts w:eastAsiaTheme="minorHAnsi"/>
          <w:lang w:val="fr-FR"/>
        </w:rPr>
        <w:t>identification.</w:t>
      </w:r>
      <w:r w:rsidR="003B2EDB" w:rsidRPr="005D3CD5">
        <w:rPr>
          <w:rFonts w:eastAsiaTheme="minorHAnsi"/>
          <w:lang w:val="fr-FR"/>
        </w:rPr>
        <w:t xml:space="preserve"> Le rapport </w:t>
      </w:r>
      <w:r w:rsidR="000C2734" w:rsidRPr="005D3CD5">
        <w:rPr>
          <w:rFonts w:eastAsiaTheme="minorHAnsi"/>
          <w:lang w:val="fr-FR"/>
        </w:rPr>
        <w:t>de l</w:t>
      </w:r>
      <w:r w:rsidR="005D3CD5" w:rsidRPr="005D3CD5">
        <w:rPr>
          <w:rFonts w:eastAsiaTheme="minorHAnsi"/>
          <w:lang w:val="fr-FR"/>
        </w:rPr>
        <w:t>’</w:t>
      </w:r>
      <w:r w:rsidR="000C2734" w:rsidRPr="005D3CD5">
        <w:rPr>
          <w:rFonts w:eastAsiaTheme="minorHAnsi"/>
          <w:lang w:val="fr-FR"/>
        </w:rPr>
        <w:t xml:space="preserve">ICJ </w:t>
      </w:r>
      <w:r w:rsidR="003B2EDB" w:rsidRPr="005D3CD5">
        <w:rPr>
          <w:rFonts w:eastAsiaTheme="minorHAnsi"/>
          <w:lang w:val="fr-FR"/>
        </w:rPr>
        <w:t xml:space="preserve">met </w:t>
      </w:r>
      <w:r w:rsidR="000C2734" w:rsidRPr="005D3CD5">
        <w:rPr>
          <w:rFonts w:eastAsiaTheme="minorHAnsi"/>
          <w:lang w:val="fr-FR"/>
        </w:rPr>
        <w:t xml:space="preserve">également </w:t>
      </w:r>
      <w:r w:rsidR="003B2EDB" w:rsidRPr="005D3CD5">
        <w:rPr>
          <w:rFonts w:eastAsiaTheme="minorHAnsi"/>
          <w:lang w:val="fr-FR"/>
        </w:rPr>
        <w:t xml:space="preserve">en </w:t>
      </w:r>
      <w:r w:rsidR="000C00E7" w:rsidRPr="005D3CD5">
        <w:rPr>
          <w:rFonts w:eastAsiaTheme="minorHAnsi"/>
          <w:lang w:val="fr-FR"/>
        </w:rPr>
        <w:t>exergue</w:t>
      </w:r>
      <w:r w:rsidR="003B2EDB" w:rsidRPr="005D3CD5">
        <w:rPr>
          <w:rFonts w:eastAsiaTheme="minorHAnsi"/>
          <w:lang w:val="fr-FR"/>
        </w:rPr>
        <w:t xml:space="preserve"> la difficulté d</w:t>
      </w:r>
      <w:r w:rsidR="005D3CD5" w:rsidRPr="005D3CD5">
        <w:rPr>
          <w:rFonts w:eastAsiaTheme="minorHAnsi"/>
          <w:lang w:val="fr-FR"/>
        </w:rPr>
        <w:t>’</w:t>
      </w:r>
      <w:r w:rsidR="003B2EDB" w:rsidRPr="005D3CD5">
        <w:rPr>
          <w:rFonts w:eastAsiaTheme="minorHAnsi"/>
          <w:lang w:val="fr-FR"/>
        </w:rPr>
        <w:t xml:space="preserve">organiser des </w:t>
      </w:r>
      <w:r w:rsidR="000C00E7" w:rsidRPr="005D3CD5">
        <w:rPr>
          <w:rFonts w:eastAsiaTheme="minorHAnsi"/>
          <w:lang w:val="fr-FR"/>
        </w:rPr>
        <w:t>audiences</w:t>
      </w:r>
      <w:r w:rsidR="003B2EDB" w:rsidRPr="005D3CD5">
        <w:rPr>
          <w:rFonts w:eastAsiaTheme="minorHAnsi"/>
          <w:lang w:val="fr-FR"/>
        </w:rPr>
        <w:t xml:space="preserve"> devant le juge de paix pour</w:t>
      </w:r>
      <w:r w:rsidR="000C00E7" w:rsidRPr="005D3CD5">
        <w:rPr>
          <w:rFonts w:eastAsiaTheme="minorHAnsi"/>
          <w:lang w:val="fr-FR"/>
        </w:rPr>
        <w:t xml:space="preserve"> valider les décisions de placement</w:t>
      </w:r>
      <w:r w:rsidR="000C2734" w:rsidRPr="005D3CD5">
        <w:rPr>
          <w:rFonts w:eastAsiaTheme="minorHAnsi"/>
          <w:lang w:val="fr-FR"/>
        </w:rPr>
        <w:t xml:space="preserve"> en détention</w:t>
      </w:r>
      <w:r w:rsidR="000C00E7" w:rsidRPr="005D3CD5">
        <w:rPr>
          <w:rFonts w:eastAsiaTheme="minorHAnsi"/>
          <w:lang w:val="fr-FR"/>
        </w:rPr>
        <w:t>.</w:t>
      </w:r>
    </w:p>
    <w:p w:rsidR="00A40AC0" w:rsidRPr="005D3CD5" w:rsidRDefault="00251124"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63</w:t>
      </w:r>
      <w:r w:rsidRPr="005D3CD5">
        <w:rPr>
          <w:rFonts w:eastAsiaTheme="minorHAnsi"/>
          <w:lang w:val="fr-FR"/>
        </w:rPr>
        <w:fldChar w:fldCharType="end"/>
      </w:r>
      <w:r w:rsidRPr="005D3CD5">
        <w:rPr>
          <w:rFonts w:eastAsiaTheme="minorHAnsi"/>
          <w:lang w:val="fr-FR"/>
        </w:rPr>
        <w:t>.  </w:t>
      </w:r>
      <w:r w:rsidR="000C2734" w:rsidRPr="005D3CD5">
        <w:rPr>
          <w:rFonts w:eastAsiaTheme="minorHAnsi"/>
          <w:lang w:val="fr-FR"/>
        </w:rPr>
        <w:t>En outre, l</w:t>
      </w:r>
      <w:r w:rsidR="005D3CD5" w:rsidRPr="005D3CD5">
        <w:rPr>
          <w:rFonts w:eastAsiaTheme="minorHAnsi"/>
          <w:lang w:val="fr-FR"/>
        </w:rPr>
        <w:t>’</w:t>
      </w:r>
      <w:r w:rsidR="000C2734" w:rsidRPr="005D3CD5">
        <w:rPr>
          <w:rFonts w:eastAsiaTheme="minorHAnsi"/>
          <w:lang w:val="fr-FR"/>
        </w:rPr>
        <w:t>ICJ indique que l</w:t>
      </w:r>
      <w:r w:rsidR="00A40AC0" w:rsidRPr="005D3CD5">
        <w:rPr>
          <w:rFonts w:eastAsiaTheme="minorHAnsi"/>
          <w:lang w:val="fr-FR"/>
        </w:rPr>
        <w:t>e régime d</w:t>
      </w:r>
      <w:r w:rsidR="005D3CD5" w:rsidRPr="005D3CD5">
        <w:rPr>
          <w:rFonts w:eastAsiaTheme="minorHAnsi"/>
          <w:lang w:val="fr-FR"/>
        </w:rPr>
        <w:t>’</w:t>
      </w:r>
      <w:r w:rsidR="00A40AC0" w:rsidRPr="005D3CD5">
        <w:rPr>
          <w:rFonts w:eastAsiaTheme="minorHAnsi"/>
          <w:lang w:val="fr-FR"/>
        </w:rPr>
        <w:t>asile européen</w:t>
      </w:r>
      <w:r w:rsidR="000C00E7" w:rsidRPr="005D3CD5">
        <w:rPr>
          <w:rFonts w:eastAsiaTheme="minorHAnsi"/>
          <w:lang w:val="fr-FR"/>
        </w:rPr>
        <w:t xml:space="preserve"> </w:t>
      </w:r>
      <w:r w:rsidR="00A40AC0" w:rsidRPr="005D3CD5">
        <w:rPr>
          <w:rFonts w:eastAsiaTheme="minorHAnsi"/>
          <w:lang w:val="fr-FR"/>
        </w:rPr>
        <w:t xml:space="preserve">commun </w:t>
      </w:r>
      <w:r w:rsidR="00E35B98" w:rsidRPr="005D3CD5">
        <w:rPr>
          <w:rFonts w:eastAsiaTheme="minorHAnsi"/>
          <w:lang w:val="fr-FR"/>
        </w:rPr>
        <w:t>est</w:t>
      </w:r>
      <w:r w:rsidR="00A40AC0" w:rsidRPr="005D3CD5">
        <w:rPr>
          <w:rFonts w:eastAsiaTheme="minorHAnsi"/>
          <w:lang w:val="fr-FR"/>
        </w:rPr>
        <w:t xml:space="preserve"> directement applicable </w:t>
      </w:r>
      <w:r w:rsidR="00E35B98" w:rsidRPr="005D3CD5">
        <w:rPr>
          <w:rFonts w:eastAsiaTheme="minorHAnsi"/>
          <w:lang w:val="fr-FR"/>
        </w:rPr>
        <w:t>dans</w:t>
      </w:r>
      <w:r w:rsidR="00A40AC0" w:rsidRPr="005D3CD5">
        <w:rPr>
          <w:rFonts w:eastAsiaTheme="minorHAnsi"/>
          <w:lang w:val="fr-FR"/>
        </w:rPr>
        <w:t xml:space="preserve"> les pays membres de l</w:t>
      </w:r>
      <w:r w:rsidR="005D3CD5" w:rsidRPr="005D3CD5">
        <w:rPr>
          <w:rFonts w:eastAsiaTheme="minorHAnsi"/>
          <w:lang w:val="fr-FR"/>
        </w:rPr>
        <w:t>’</w:t>
      </w:r>
      <w:r w:rsidR="00A40AC0" w:rsidRPr="005D3CD5">
        <w:rPr>
          <w:rFonts w:eastAsiaTheme="minorHAnsi"/>
          <w:lang w:val="fr-FR"/>
        </w:rPr>
        <w:t>Union</w:t>
      </w:r>
      <w:r w:rsidR="000C2734" w:rsidRPr="005D3CD5">
        <w:rPr>
          <w:rFonts w:eastAsiaTheme="minorHAnsi"/>
          <w:lang w:val="fr-FR"/>
        </w:rPr>
        <w:t xml:space="preserve"> européenne</w:t>
      </w:r>
      <w:r w:rsidR="00E35B98" w:rsidRPr="005D3CD5">
        <w:rPr>
          <w:rFonts w:eastAsiaTheme="minorHAnsi"/>
          <w:lang w:val="fr-FR"/>
        </w:rPr>
        <w:t xml:space="preserve"> en tant que norme minimale et qu</w:t>
      </w:r>
      <w:r w:rsidR="005D3CD5" w:rsidRPr="005D3CD5">
        <w:rPr>
          <w:rFonts w:eastAsiaTheme="minorHAnsi"/>
          <w:lang w:val="fr-FR"/>
        </w:rPr>
        <w:t>’</w:t>
      </w:r>
      <w:r w:rsidR="00A40AC0" w:rsidRPr="005D3CD5">
        <w:rPr>
          <w:rFonts w:eastAsiaTheme="minorHAnsi"/>
          <w:lang w:val="fr-FR"/>
        </w:rPr>
        <w:t>il devrait être considéré comme formant le «</w:t>
      </w:r>
      <w:r w:rsidR="00E35B98" w:rsidRPr="005D3CD5">
        <w:rPr>
          <w:rFonts w:eastAsiaTheme="minorHAnsi"/>
          <w:lang w:val="fr-FR"/>
        </w:rPr>
        <w:t> </w:t>
      </w:r>
      <w:r w:rsidR="00A40AC0" w:rsidRPr="005D3CD5">
        <w:rPr>
          <w:rFonts w:eastAsiaTheme="minorHAnsi"/>
          <w:lang w:val="fr-FR"/>
        </w:rPr>
        <w:t>droit interne</w:t>
      </w:r>
      <w:r w:rsidR="00E35B98" w:rsidRPr="005D3CD5">
        <w:rPr>
          <w:rFonts w:eastAsiaTheme="minorHAnsi"/>
          <w:lang w:val="fr-FR"/>
        </w:rPr>
        <w:t> </w:t>
      </w:r>
      <w:r w:rsidR="00A40AC0" w:rsidRPr="005D3CD5">
        <w:rPr>
          <w:rFonts w:eastAsiaTheme="minorHAnsi"/>
          <w:lang w:val="fr-FR"/>
        </w:rPr>
        <w:t>» des États défendeurs aux fins de l</w:t>
      </w:r>
      <w:r w:rsidR="005D3CD5" w:rsidRPr="005D3CD5">
        <w:rPr>
          <w:rFonts w:eastAsiaTheme="minorHAnsi"/>
          <w:lang w:val="fr-FR"/>
        </w:rPr>
        <w:t>’</w:t>
      </w:r>
      <w:r w:rsidR="00A40AC0" w:rsidRPr="005D3CD5">
        <w:rPr>
          <w:rFonts w:eastAsiaTheme="minorHAnsi"/>
          <w:lang w:val="fr-FR"/>
        </w:rPr>
        <w:t>article 5 de la Convention en l</w:t>
      </w:r>
      <w:r w:rsidR="005D3CD5" w:rsidRPr="005D3CD5">
        <w:rPr>
          <w:rFonts w:eastAsiaTheme="minorHAnsi"/>
          <w:lang w:val="fr-FR"/>
        </w:rPr>
        <w:t>’</w:t>
      </w:r>
      <w:r w:rsidR="00A40AC0" w:rsidRPr="005D3CD5">
        <w:rPr>
          <w:rFonts w:eastAsiaTheme="minorHAnsi"/>
          <w:lang w:val="fr-FR"/>
        </w:rPr>
        <w:t>absence de règle nationale plus protectrice.</w:t>
      </w:r>
    </w:p>
    <w:p w:rsidR="00A40AC0" w:rsidRPr="005D3CD5" w:rsidRDefault="00740CDE"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64</w:t>
      </w:r>
      <w:r w:rsidRPr="005D3CD5">
        <w:rPr>
          <w:rFonts w:eastAsiaTheme="minorHAnsi"/>
          <w:lang w:val="fr-FR"/>
        </w:rPr>
        <w:fldChar w:fldCharType="end"/>
      </w:r>
      <w:r w:rsidRPr="005D3CD5">
        <w:rPr>
          <w:rFonts w:eastAsiaTheme="minorHAnsi"/>
          <w:lang w:val="fr-FR"/>
        </w:rPr>
        <w:t>.  </w:t>
      </w:r>
      <w:r w:rsidR="00A40AC0" w:rsidRPr="005D3CD5">
        <w:rPr>
          <w:rFonts w:eastAsiaTheme="minorHAnsi"/>
          <w:lang w:val="fr-FR"/>
        </w:rPr>
        <w:t xml:space="preserve">Par ailleurs, </w:t>
      </w:r>
      <w:r w:rsidR="00B36F52" w:rsidRPr="005D3CD5">
        <w:rPr>
          <w:rFonts w:eastAsiaTheme="minorHAnsi"/>
          <w:lang w:val="fr-FR"/>
        </w:rPr>
        <w:t>l</w:t>
      </w:r>
      <w:r w:rsidR="005D3CD5" w:rsidRPr="005D3CD5">
        <w:rPr>
          <w:rFonts w:eastAsiaTheme="minorHAnsi"/>
          <w:lang w:val="fr-FR"/>
        </w:rPr>
        <w:t>’</w:t>
      </w:r>
      <w:r w:rsidR="00B36F52" w:rsidRPr="005D3CD5">
        <w:rPr>
          <w:rFonts w:eastAsiaTheme="minorHAnsi"/>
          <w:lang w:val="fr-FR"/>
        </w:rPr>
        <w:t xml:space="preserve">ICJ estime que </w:t>
      </w:r>
      <w:r w:rsidR="00A40AC0" w:rsidRPr="005D3CD5">
        <w:rPr>
          <w:rFonts w:eastAsiaTheme="minorHAnsi"/>
          <w:lang w:val="fr-FR"/>
        </w:rPr>
        <w:t>la rétention dans l</w:t>
      </w:r>
      <w:r w:rsidR="005D3CD5" w:rsidRPr="005D3CD5">
        <w:rPr>
          <w:rFonts w:eastAsiaTheme="minorHAnsi"/>
          <w:lang w:val="fr-FR"/>
        </w:rPr>
        <w:t>’</w:t>
      </w:r>
      <w:r w:rsidR="00A40AC0" w:rsidRPr="005D3CD5">
        <w:rPr>
          <w:rFonts w:eastAsiaTheme="minorHAnsi"/>
          <w:lang w:val="fr-FR"/>
        </w:rPr>
        <w:t>attente de l</w:t>
      </w:r>
      <w:r w:rsidR="005D3CD5" w:rsidRPr="005D3CD5">
        <w:rPr>
          <w:rFonts w:eastAsiaTheme="minorHAnsi"/>
          <w:lang w:val="fr-FR"/>
        </w:rPr>
        <w:t>’</w:t>
      </w:r>
      <w:r w:rsidR="00A40AC0" w:rsidRPr="005D3CD5">
        <w:rPr>
          <w:rFonts w:eastAsiaTheme="minorHAnsi"/>
          <w:lang w:val="fr-FR"/>
        </w:rPr>
        <w:t>issue d</w:t>
      </w:r>
      <w:r w:rsidR="005D3CD5" w:rsidRPr="005D3CD5">
        <w:rPr>
          <w:rFonts w:eastAsiaTheme="minorHAnsi"/>
          <w:lang w:val="fr-FR"/>
        </w:rPr>
        <w:t>’</w:t>
      </w:r>
      <w:r w:rsidR="00A40AC0" w:rsidRPr="005D3CD5">
        <w:rPr>
          <w:rFonts w:eastAsiaTheme="minorHAnsi"/>
          <w:lang w:val="fr-FR"/>
        </w:rPr>
        <w:t>une procédure d</w:t>
      </w:r>
      <w:r w:rsidR="005D3CD5" w:rsidRPr="005D3CD5">
        <w:rPr>
          <w:rFonts w:eastAsiaTheme="minorHAnsi"/>
          <w:lang w:val="fr-FR"/>
        </w:rPr>
        <w:t>’</w:t>
      </w:r>
      <w:r w:rsidR="00A40AC0" w:rsidRPr="005D3CD5">
        <w:rPr>
          <w:rFonts w:eastAsiaTheme="minorHAnsi"/>
          <w:lang w:val="fr-FR"/>
        </w:rPr>
        <w:t>expulsion ou d</w:t>
      </w:r>
      <w:r w:rsidR="005D3CD5" w:rsidRPr="005D3CD5">
        <w:rPr>
          <w:rFonts w:eastAsiaTheme="minorHAnsi"/>
          <w:lang w:val="fr-FR"/>
        </w:rPr>
        <w:t>’</w:t>
      </w:r>
      <w:r w:rsidR="00A40AC0" w:rsidRPr="005D3CD5">
        <w:rPr>
          <w:rFonts w:eastAsiaTheme="minorHAnsi"/>
          <w:lang w:val="fr-FR"/>
        </w:rPr>
        <w:t>extradition mentionnée dans le second volet de l</w:t>
      </w:r>
      <w:r w:rsidR="005D3CD5" w:rsidRPr="005D3CD5">
        <w:rPr>
          <w:rFonts w:eastAsiaTheme="minorHAnsi"/>
          <w:lang w:val="fr-FR"/>
        </w:rPr>
        <w:t>’</w:t>
      </w:r>
      <w:r w:rsidR="00A40AC0" w:rsidRPr="005D3CD5">
        <w:rPr>
          <w:rFonts w:eastAsiaTheme="minorHAnsi"/>
          <w:lang w:val="fr-FR"/>
        </w:rPr>
        <w:t xml:space="preserve">article 5 § 1 f) </w:t>
      </w:r>
      <w:r w:rsidR="00B36F52" w:rsidRPr="005D3CD5">
        <w:rPr>
          <w:rFonts w:eastAsiaTheme="minorHAnsi"/>
          <w:lang w:val="fr-FR"/>
        </w:rPr>
        <w:t xml:space="preserve">de la Convention </w:t>
      </w:r>
      <w:r w:rsidR="00A40AC0" w:rsidRPr="005D3CD5">
        <w:rPr>
          <w:rFonts w:eastAsiaTheme="minorHAnsi"/>
          <w:lang w:val="fr-FR"/>
        </w:rPr>
        <w:t xml:space="preserve">ne serait justifiable que pendant le déroulement de la procédure en question. </w:t>
      </w:r>
      <w:r w:rsidR="00221BDB" w:rsidRPr="005D3CD5">
        <w:rPr>
          <w:rFonts w:eastAsiaTheme="minorHAnsi"/>
          <w:lang w:val="fr-FR"/>
        </w:rPr>
        <w:t>Selon elle, i</w:t>
      </w:r>
      <w:r w:rsidR="00A40AC0" w:rsidRPr="005D3CD5">
        <w:rPr>
          <w:rFonts w:eastAsiaTheme="minorHAnsi"/>
          <w:lang w:val="fr-FR"/>
        </w:rPr>
        <w:t xml:space="preserve">l conviendrait de faire de ce principe une application stricte </w:t>
      </w:r>
      <w:r w:rsidR="00D37F2B" w:rsidRPr="005D3CD5">
        <w:rPr>
          <w:rFonts w:eastAsiaTheme="minorHAnsi"/>
          <w:lang w:val="fr-FR"/>
        </w:rPr>
        <w:t>et de</w:t>
      </w:r>
      <w:r w:rsidR="00A40AC0" w:rsidRPr="005D3CD5">
        <w:rPr>
          <w:rFonts w:eastAsiaTheme="minorHAnsi"/>
          <w:lang w:val="fr-FR"/>
        </w:rPr>
        <w:t xml:space="preserve"> veiller </w:t>
      </w:r>
      <w:r w:rsidR="00D37F2B" w:rsidRPr="005D3CD5">
        <w:rPr>
          <w:rFonts w:eastAsiaTheme="minorHAnsi"/>
          <w:lang w:val="fr-FR"/>
        </w:rPr>
        <w:t xml:space="preserve">ainsi </w:t>
      </w:r>
      <w:r w:rsidR="00A40AC0" w:rsidRPr="005D3CD5">
        <w:rPr>
          <w:rFonts w:eastAsiaTheme="minorHAnsi"/>
          <w:lang w:val="fr-FR"/>
        </w:rPr>
        <w:t>à ce que les autorités s</w:t>
      </w:r>
      <w:r w:rsidR="005D3CD5" w:rsidRPr="005D3CD5">
        <w:rPr>
          <w:rFonts w:eastAsiaTheme="minorHAnsi"/>
          <w:lang w:val="fr-FR"/>
        </w:rPr>
        <w:t>’</w:t>
      </w:r>
      <w:r w:rsidR="00A40AC0" w:rsidRPr="005D3CD5">
        <w:rPr>
          <w:rFonts w:eastAsiaTheme="minorHAnsi"/>
          <w:lang w:val="fr-FR"/>
        </w:rPr>
        <w:t>emploient avec diligence à rechercher une possibilité réelle d</w:t>
      </w:r>
      <w:r w:rsidR="005D3CD5" w:rsidRPr="005D3CD5">
        <w:rPr>
          <w:rFonts w:eastAsiaTheme="minorHAnsi"/>
          <w:lang w:val="fr-FR"/>
        </w:rPr>
        <w:t>’</w:t>
      </w:r>
      <w:r w:rsidR="00A40AC0" w:rsidRPr="005D3CD5">
        <w:rPr>
          <w:rFonts w:eastAsiaTheme="minorHAnsi"/>
          <w:lang w:val="fr-FR"/>
        </w:rPr>
        <w:t xml:space="preserve">expulsion à tous les stades de la détention de la personne concernée. </w:t>
      </w:r>
      <w:r w:rsidR="00221BDB" w:rsidRPr="005D3CD5">
        <w:rPr>
          <w:rFonts w:eastAsiaTheme="minorHAnsi"/>
          <w:lang w:val="fr-FR"/>
        </w:rPr>
        <w:t>Toujours s</w:t>
      </w:r>
      <w:r w:rsidR="00D37F2B" w:rsidRPr="005D3CD5">
        <w:rPr>
          <w:rFonts w:eastAsiaTheme="minorHAnsi"/>
          <w:lang w:val="fr-FR"/>
        </w:rPr>
        <w:t xml:space="preserve">elon </w:t>
      </w:r>
      <w:r w:rsidR="00221BDB" w:rsidRPr="005D3CD5">
        <w:rPr>
          <w:rFonts w:eastAsiaTheme="minorHAnsi"/>
          <w:lang w:val="fr-FR"/>
        </w:rPr>
        <w:t>l</w:t>
      </w:r>
      <w:r w:rsidR="005D3CD5" w:rsidRPr="005D3CD5">
        <w:rPr>
          <w:rFonts w:eastAsiaTheme="minorHAnsi"/>
          <w:lang w:val="fr-FR"/>
        </w:rPr>
        <w:t>’</w:t>
      </w:r>
      <w:r w:rsidR="00221BDB" w:rsidRPr="005D3CD5">
        <w:rPr>
          <w:rFonts w:eastAsiaTheme="minorHAnsi"/>
          <w:lang w:val="fr-FR"/>
        </w:rPr>
        <w:t>ICJ</w:t>
      </w:r>
      <w:r w:rsidR="00D37F2B" w:rsidRPr="005D3CD5">
        <w:rPr>
          <w:rFonts w:eastAsiaTheme="minorHAnsi"/>
          <w:lang w:val="fr-FR"/>
        </w:rPr>
        <w:t>, l</w:t>
      </w:r>
      <w:r w:rsidR="00A40AC0" w:rsidRPr="005D3CD5">
        <w:rPr>
          <w:rFonts w:eastAsiaTheme="minorHAnsi"/>
          <w:lang w:val="fr-FR"/>
        </w:rPr>
        <w:t>es demandeurs d</w:t>
      </w:r>
      <w:r w:rsidR="005D3CD5" w:rsidRPr="005D3CD5">
        <w:rPr>
          <w:rFonts w:eastAsiaTheme="minorHAnsi"/>
          <w:lang w:val="fr-FR"/>
        </w:rPr>
        <w:t>’</w:t>
      </w:r>
      <w:r w:rsidR="00A40AC0" w:rsidRPr="005D3CD5">
        <w:rPr>
          <w:rFonts w:eastAsiaTheme="minorHAnsi"/>
          <w:lang w:val="fr-FR"/>
        </w:rPr>
        <w:t xml:space="preserve">asile protégés par des normes de droit interne ou de droit international interdisant leur expulsion dans </w:t>
      </w:r>
      <w:r w:rsidR="00A40AC0" w:rsidRPr="005D3CD5">
        <w:rPr>
          <w:rFonts w:eastAsiaTheme="minorHAnsi"/>
          <w:lang w:val="fr-FR"/>
        </w:rPr>
        <w:lastRenderedPageBreak/>
        <w:t>l</w:t>
      </w:r>
      <w:r w:rsidR="005D3CD5" w:rsidRPr="005D3CD5">
        <w:rPr>
          <w:rFonts w:eastAsiaTheme="minorHAnsi"/>
          <w:lang w:val="fr-FR"/>
        </w:rPr>
        <w:t>’</w:t>
      </w:r>
      <w:r w:rsidR="00A40AC0" w:rsidRPr="005D3CD5">
        <w:rPr>
          <w:rFonts w:eastAsiaTheme="minorHAnsi"/>
          <w:lang w:val="fr-FR"/>
        </w:rPr>
        <w:t>attente de l</w:t>
      </w:r>
      <w:r w:rsidR="005D3CD5" w:rsidRPr="005D3CD5">
        <w:rPr>
          <w:rFonts w:eastAsiaTheme="minorHAnsi"/>
          <w:lang w:val="fr-FR"/>
        </w:rPr>
        <w:t>’</w:t>
      </w:r>
      <w:r w:rsidR="00A40AC0" w:rsidRPr="005D3CD5">
        <w:rPr>
          <w:rFonts w:eastAsiaTheme="minorHAnsi"/>
          <w:lang w:val="fr-FR"/>
        </w:rPr>
        <w:t>instruction de leur demande ne pourraient faire l</w:t>
      </w:r>
      <w:r w:rsidR="005D3CD5" w:rsidRPr="005D3CD5">
        <w:rPr>
          <w:rFonts w:eastAsiaTheme="minorHAnsi"/>
          <w:lang w:val="fr-FR"/>
        </w:rPr>
        <w:t>’</w:t>
      </w:r>
      <w:r w:rsidR="00A40AC0" w:rsidRPr="005D3CD5">
        <w:rPr>
          <w:rFonts w:eastAsiaTheme="minorHAnsi"/>
          <w:lang w:val="fr-FR"/>
        </w:rPr>
        <w:t>objet d</w:t>
      </w:r>
      <w:r w:rsidR="005D3CD5" w:rsidRPr="005D3CD5">
        <w:rPr>
          <w:rFonts w:eastAsiaTheme="minorHAnsi"/>
          <w:lang w:val="fr-FR"/>
        </w:rPr>
        <w:t>’</w:t>
      </w:r>
      <w:r w:rsidR="00A40AC0" w:rsidRPr="005D3CD5">
        <w:rPr>
          <w:rFonts w:eastAsiaTheme="minorHAnsi"/>
          <w:lang w:val="fr-FR"/>
        </w:rPr>
        <w:t>une détention prolongée pendant le déroulement de cette procédure.</w:t>
      </w:r>
    </w:p>
    <w:p w:rsidR="009F210B" w:rsidRPr="005D3CD5" w:rsidRDefault="00F8081D"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65</w:t>
      </w:r>
      <w:r w:rsidRPr="005D3CD5">
        <w:rPr>
          <w:rFonts w:eastAsiaTheme="minorHAnsi"/>
          <w:lang w:val="fr-FR"/>
        </w:rPr>
        <w:fldChar w:fldCharType="end"/>
      </w:r>
      <w:r w:rsidRPr="005D3CD5">
        <w:rPr>
          <w:rFonts w:eastAsiaTheme="minorHAnsi"/>
          <w:lang w:val="fr-FR"/>
        </w:rPr>
        <w:t>.  </w:t>
      </w:r>
      <w:r w:rsidR="00A40AC0" w:rsidRPr="005D3CD5">
        <w:rPr>
          <w:rFonts w:eastAsiaTheme="minorHAnsi"/>
          <w:lang w:val="fr-FR"/>
        </w:rPr>
        <w:t>Pour ce qui est des autres critères établis par la jurisprudence de la Cour, l</w:t>
      </w:r>
      <w:r w:rsidR="005D3CD5" w:rsidRPr="005D3CD5">
        <w:rPr>
          <w:rFonts w:eastAsiaTheme="minorHAnsi"/>
          <w:lang w:val="fr-FR"/>
        </w:rPr>
        <w:t>’</w:t>
      </w:r>
      <w:r w:rsidR="00D37F2B" w:rsidRPr="005D3CD5">
        <w:rPr>
          <w:rFonts w:eastAsiaTheme="minorHAnsi"/>
          <w:lang w:val="fr-FR"/>
        </w:rPr>
        <w:t>ICJ considère que l</w:t>
      </w:r>
      <w:r w:rsidR="005D3CD5" w:rsidRPr="005D3CD5">
        <w:rPr>
          <w:rFonts w:eastAsiaTheme="minorHAnsi"/>
          <w:lang w:val="fr-FR"/>
        </w:rPr>
        <w:t>’</w:t>
      </w:r>
      <w:r w:rsidR="00A40AC0" w:rsidRPr="005D3CD5">
        <w:rPr>
          <w:rFonts w:eastAsiaTheme="minorHAnsi"/>
          <w:lang w:val="fr-FR"/>
        </w:rPr>
        <w:t xml:space="preserve">exigence de </w:t>
      </w:r>
      <w:r w:rsidR="009C06D1" w:rsidRPr="005D3CD5">
        <w:rPr>
          <w:rFonts w:eastAsiaTheme="minorHAnsi"/>
          <w:lang w:val="fr-FR"/>
        </w:rPr>
        <w:t>« </w:t>
      </w:r>
      <w:r w:rsidR="00A40AC0" w:rsidRPr="005D3CD5">
        <w:rPr>
          <w:rFonts w:eastAsiaTheme="minorHAnsi"/>
          <w:lang w:val="fr-FR"/>
        </w:rPr>
        <w:t>bonne foi</w:t>
      </w:r>
      <w:r w:rsidR="009C06D1" w:rsidRPr="005D3CD5">
        <w:rPr>
          <w:rFonts w:eastAsiaTheme="minorHAnsi"/>
          <w:lang w:val="fr-FR"/>
        </w:rPr>
        <w:t> »</w:t>
      </w:r>
      <w:r w:rsidR="00A40AC0" w:rsidRPr="005D3CD5">
        <w:rPr>
          <w:rFonts w:eastAsiaTheme="minorHAnsi"/>
          <w:lang w:val="fr-FR"/>
        </w:rPr>
        <w:t xml:space="preserve"> implique qu</w:t>
      </w:r>
      <w:r w:rsidR="005D3CD5" w:rsidRPr="005D3CD5">
        <w:rPr>
          <w:rFonts w:eastAsiaTheme="minorHAnsi"/>
          <w:lang w:val="fr-FR"/>
        </w:rPr>
        <w:t>’</w:t>
      </w:r>
      <w:r w:rsidR="00A40AC0" w:rsidRPr="005D3CD5">
        <w:rPr>
          <w:rFonts w:eastAsiaTheme="minorHAnsi"/>
          <w:lang w:val="fr-FR"/>
        </w:rPr>
        <w:t xml:space="preserve">un placement en rétention </w:t>
      </w:r>
      <w:r w:rsidR="00950688" w:rsidRPr="005D3CD5">
        <w:rPr>
          <w:rFonts w:eastAsiaTheme="minorHAnsi"/>
          <w:lang w:val="fr-FR"/>
        </w:rPr>
        <w:t xml:space="preserve">soit </w:t>
      </w:r>
      <w:r w:rsidR="00A40AC0" w:rsidRPr="005D3CD5">
        <w:rPr>
          <w:rFonts w:eastAsiaTheme="minorHAnsi"/>
          <w:lang w:val="fr-FR"/>
        </w:rPr>
        <w:t xml:space="preserve">décidé </w:t>
      </w:r>
      <w:r w:rsidR="009C06D1" w:rsidRPr="005D3CD5">
        <w:rPr>
          <w:rFonts w:eastAsiaTheme="minorHAnsi"/>
          <w:lang w:val="fr-FR"/>
        </w:rPr>
        <w:t>avec</w:t>
      </w:r>
      <w:r w:rsidR="00A40AC0" w:rsidRPr="005D3CD5">
        <w:rPr>
          <w:rFonts w:eastAsiaTheme="minorHAnsi"/>
          <w:lang w:val="fr-FR"/>
        </w:rPr>
        <w:t xml:space="preserve"> la transparence et la diligence requises pour que les dispositifs de droit interne prévoyant des mesures alternatives à la détention ou la remise en liberté ne soient pas contournés ou manipulés au point de s</w:t>
      </w:r>
      <w:r w:rsidR="005D3CD5" w:rsidRPr="005D3CD5">
        <w:rPr>
          <w:rFonts w:eastAsiaTheme="minorHAnsi"/>
          <w:lang w:val="fr-FR"/>
        </w:rPr>
        <w:t>’</w:t>
      </w:r>
      <w:r w:rsidR="00A40AC0" w:rsidRPr="005D3CD5">
        <w:rPr>
          <w:rFonts w:eastAsiaTheme="minorHAnsi"/>
          <w:lang w:val="fr-FR"/>
        </w:rPr>
        <w:t xml:space="preserve">en trouver vides de sens. </w:t>
      </w:r>
      <w:r w:rsidR="0012403B" w:rsidRPr="005D3CD5">
        <w:rPr>
          <w:rFonts w:eastAsiaTheme="minorHAnsi"/>
          <w:lang w:val="fr-FR"/>
        </w:rPr>
        <w:t>D</w:t>
      </w:r>
      <w:r w:rsidR="005D3CD5" w:rsidRPr="005D3CD5">
        <w:rPr>
          <w:rFonts w:eastAsiaTheme="minorHAnsi"/>
          <w:lang w:val="fr-FR"/>
        </w:rPr>
        <w:t>’</w:t>
      </w:r>
      <w:r w:rsidR="0012403B" w:rsidRPr="005D3CD5">
        <w:rPr>
          <w:rFonts w:eastAsiaTheme="minorHAnsi"/>
          <w:lang w:val="fr-FR"/>
        </w:rPr>
        <w:t>après l</w:t>
      </w:r>
      <w:r w:rsidR="005D3CD5" w:rsidRPr="005D3CD5">
        <w:rPr>
          <w:rFonts w:eastAsiaTheme="minorHAnsi"/>
          <w:lang w:val="fr-FR"/>
        </w:rPr>
        <w:t>’</w:t>
      </w:r>
      <w:r w:rsidR="0012403B" w:rsidRPr="005D3CD5">
        <w:rPr>
          <w:rFonts w:eastAsiaTheme="minorHAnsi"/>
          <w:lang w:val="fr-FR"/>
        </w:rPr>
        <w:t xml:space="preserve">ICJ, </w:t>
      </w:r>
      <w:r w:rsidR="00A40AC0" w:rsidRPr="005D3CD5">
        <w:rPr>
          <w:rFonts w:eastAsiaTheme="minorHAnsi"/>
          <w:lang w:val="fr-FR"/>
        </w:rPr>
        <w:t xml:space="preserve">il conviendrait </w:t>
      </w:r>
      <w:r w:rsidR="0012403B" w:rsidRPr="005D3CD5">
        <w:rPr>
          <w:rFonts w:eastAsiaTheme="minorHAnsi"/>
          <w:lang w:val="fr-FR"/>
        </w:rPr>
        <w:t xml:space="preserve">à cet égard </w:t>
      </w:r>
      <w:r w:rsidR="00A40AC0" w:rsidRPr="005D3CD5">
        <w:rPr>
          <w:rFonts w:eastAsiaTheme="minorHAnsi"/>
          <w:lang w:val="fr-FR"/>
        </w:rPr>
        <w:t xml:space="preserve">de se reporter aux affaires </w:t>
      </w:r>
      <w:r w:rsidR="00A40AC0" w:rsidRPr="005D3CD5">
        <w:rPr>
          <w:rFonts w:eastAsiaTheme="minorHAnsi"/>
          <w:i/>
          <w:lang w:val="fr-FR"/>
        </w:rPr>
        <w:t>Čonka c. Belgique</w:t>
      </w:r>
      <w:r w:rsidR="00A40AC0" w:rsidRPr="005D3CD5">
        <w:rPr>
          <w:rFonts w:eastAsiaTheme="minorHAnsi"/>
          <w:lang w:val="fr-FR"/>
        </w:rPr>
        <w:t xml:space="preserve"> (n</w:t>
      </w:r>
      <w:r w:rsidR="00A40AC0" w:rsidRPr="005D3CD5">
        <w:rPr>
          <w:rFonts w:eastAsiaTheme="minorHAnsi"/>
          <w:vertAlign w:val="superscript"/>
          <w:lang w:val="fr-FR"/>
        </w:rPr>
        <w:t>o</w:t>
      </w:r>
      <w:r w:rsidR="00950688" w:rsidRPr="005D3CD5">
        <w:rPr>
          <w:rFonts w:eastAsiaTheme="minorHAnsi"/>
          <w:vertAlign w:val="superscript"/>
          <w:lang w:val="fr-FR"/>
        </w:rPr>
        <w:t> </w:t>
      </w:r>
      <w:r w:rsidR="009E223A" w:rsidRPr="005D3CD5">
        <w:rPr>
          <w:lang w:val="fr-FR"/>
        </w:rPr>
        <w:t>51564/99</w:t>
      </w:r>
      <w:r w:rsidR="00A40AC0" w:rsidRPr="005D3CD5">
        <w:rPr>
          <w:rFonts w:eastAsiaTheme="minorHAnsi"/>
          <w:lang w:val="fr-FR"/>
        </w:rPr>
        <w:t>, CEDH 2002</w:t>
      </w:r>
      <w:r w:rsidR="00A40AC0" w:rsidRPr="005D3CD5">
        <w:rPr>
          <w:rFonts w:eastAsiaTheme="minorHAnsi"/>
          <w:lang w:val="fr-FR"/>
        </w:rPr>
        <w:noBreakHyphen/>
        <w:t xml:space="preserve">I) et </w:t>
      </w:r>
      <w:r w:rsidR="00A40AC0" w:rsidRPr="005D3CD5">
        <w:rPr>
          <w:rFonts w:eastAsiaTheme="minorHAnsi"/>
          <w:i/>
          <w:lang w:val="fr-FR"/>
        </w:rPr>
        <w:t>R.U. c. Grèce</w:t>
      </w:r>
      <w:r w:rsidR="00A40AC0" w:rsidRPr="005D3CD5">
        <w:rPr>
          <w:rFonts w:eastAsiaTheme="minorHAnsi"/>
          <w:lang w:val="fr-FR"/>
        </w:rPr>
        <w:t xml:space="preserve"> (n</w:t>
      </w:r>
      <w:r w:rsidR="00A40AC0" w:rsidRPr="005D3CD5">
        <w:rPr>
          <w:rFonts w:eastAsiaTheme="minorHAnsi"/>
          <w:vertAlign w:val="superscript"/>
          <w:lang w:val="fr-FR"/>
        </w:rPr>
        <w:t>o</w:t>
      </w:r>
      <w:r w:rsidR="009E223A" w:rsidRPr="005D3CD5">
        <w:rPr>
          <w:lang w:val="fr-FR"/>
        </w:rPr>
        <w:t>2237/08</w:t>
      </w:r>
      <w:r w:rsidR="00A40AC0" w:rsidRPr="005D3CD5">
        <w:rPr>
          <w:rFonts w:eastAsiaTheme="minorHAnsi"/>
          <w:lang w:val="fr-FR"/>
        </w:rPr>
        <w:t>, 7 juin 2011), dans lesquelles les règles juridiques matérielles et procédurales a</w:t>
      </w:r>
      <w:r w:rsidR="00D37F2B" w:rsidRPr="005D3CD5">
        <w:rPr>
          <w:rFonts w:eastAsiaTheme="minorHAnsi"/>
          <w:lang w:val="fr-FR"/>
        </w:rPr>
        <w:t>ur</w:t>
      </w:r>
      <w:r w:rsidR="00A40AC0" w:rsidRPr="005D3CD5">
        <w:rPr>
          <w:rFonts w:eastAsiaTheme="minorHAnsi"/>
          <w:lang w:val="fr-FR"/>
        </w:rPr>
        <w:t>aient été appliquées de telle manière qu</w:t>
      </w:r>
      <w:r w:rsidR="005D3CD5" w:rsidRPr="005D3CD5">
        <w:rPr>
          <w:rFonts w:eastAsiaTheme="minorHAnsi"/>
          <w:lang w:val="fr-FR"/>
        </w:rPr>
        <w:t>’</w:t>
      </w:r>
      <w:r w:rsidR="00A40AC0" w:rsidRPr="005D3CD5">
        <w:rPr>
          <w:rFonts w:eastAsiaTheme="minorHAnsi"/>
          <w:lang w:val="fr-FR"/>
        </w:rPr>
        <w:t>elles</w:t>
      </w:r>
      <w:r w:rsidR="00D37F2B" w:rsidRPr="005D3CD5">
        <w:rPr>
          <w:rFonts w:eastAsiaTheme="minorHAnsi"/>
          <w:lang w:val="fr-FR"/>
        </w:rPr>
        <w:t xml:space="preserve"> </w:t>
      </w:r>
      <w:r w:rsidR="00A40AC0" w:rsidRPr="005D3CD5">
        <w:rPr>
          <w:rFonts w:eastAsiaTheme="minorHAnsi"/>
          <w:lang w:val="fr-FR"/>
        </w:rPr>
        <w:t>avaient été privées d</w:t>
      </w:r>
      <w:r w:rsidR="005D3CD5" w:rsidRPr="005D3CD5">
        <w:rPr>
          <w:rFonts w:eastAsiaTheme="minorHAnsi"/>
          <w:lang w:val="fr-FR"/>
        </w:rPr>
        <w:t>’</w:t>
      </w:r>
      <w:r w:rsidR="00A40AC0" w:rsidRPr="005D3CD5">
        <w:rPr>
          <w:rFonts w:eastAsiaTheme="minorHAnsi"/>
          <w:lang w:val="fr-FR"/>
        </w:rPr>
        <w:t>effet.</w:t>
      </w:r>
    </w:p>
    <w:p w:rsidR="00A40AC0" w:rsidRPr="005D3CD5" w:rsidRDefault="00F8081D"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66</w:t>
      </w:r>
      <w:r w:rsidRPr="005D3CD5">
        <w:rPr>
          <w:rFonts w:eastAsiaTheme="minorHAnsi"/>
          <w:lang w:val="fr-FR"/>
        </w:rPr>
        <w:fldChar w:fldCharType="end"/>
      </w:r>
      <w:r w:rsidRPr="005D3CD5">
        <w:rPr>
          <w:rFonts w:eastAsiaTheme="minorHAnsi"/>
          <w:lang w:val="fr-FR"/>
        </w:rPr>
        <w:t>.  </w:t>
      </w:r>
      <w:r w:rsidR="00950688" w:rsidRPr="005D3CD5">
        <w:rPr>
          <w:rFonts w:eastAsiaTheme="minorHAnsi"/>
          <w:lang w:val="fr-FR"/>
        </w:rPr>
        <w:t>Enfin, s</w:t>
      </w:r>
      <w:r w:rsidR="005D3CD5" w:rsidRPr="005D3CD5">
        <w:rPr>
          <w:rFonts w:eastAsiaTheme="minorHAnsi"/>
          <w:lang w:val="fr-FR"/>
        </w:rPr>
        <w:t>’</w:t>
      </w:r>
      <w:r w:rsidR="00A40AC0" w:rsidRPr="005D3CD5">
        <w:rPr>
          <w:rFonts w:eastAsiaTheme="minorHAnsi"/>
          <w:lang w:val="fr-FR"/>
        </w:rPr>
        <w:t>agissant des garanties procédurales contre l</w:t>
      </w:r>
      <w:r w:rsidR="005D3CD5" w:rsidRPr="005D3CD5">
        <w:rPr>
          <w:rFonts w:eastAsiaTheme="minorHAnsi"/>
          <w:lang w:val="fr-FR"/>
        </w:rPr>
        <w:t>’</w:t>
      </w:r>
      <w:r w:rsidR="00A40AC0" w:rsidRPr="005D3CD5">
        <w:rPr>
          <w:rFonts w:eastAsiaTheme="minorHAnsi"/>
          <w:lang w:val="fr-FR"/>
        </w:rPr>
        <w:t xml:space="preserve">arbitraire, </w:t>
      </w:r>
      <w:r w:rsidR="00950688" w:rsidRPr="005D3CD5">
        <w:rPr>
          <w:rFonts w:eastAsiaTheme="minorHAnsi"/>
          <w:lang w:val="fr-FR"/>
        </w:rPr>
        <w:t>l</w:t>
      </w:r>
      <w:r w:rsidR="005D3CD5" w:rsidRPr="005D3CD5">
        <w:rPr>
          <w:rFonts w:eastAsiaTheme="minorHAnsi"/>
          <w:lang w:val="fr-FR"/>
        </w:rPr>
        <w:t>’</w:t>
      </w:r>
      <w:r w:rsidR="00950688" w:rsidRPr="005D3CD5">
        <w:rPr>
          <w:rFonts w:eastAsiaTheme="minorHAnsi"/>
          <w:lang w:val="fr-FR"/>
        </w:rPr>
        <w:t>ICJ est d</w:t>
      </w:r>
      <w:r w:rsidR="005D3CD5" w:rsidRPr="005D3CD5">
        <w:rPr>
          <w:rFonts w:eastAsiaTheme="minorHAnsi"/>
          <w:lang w:val="fr-FR"/>
        </w:rPr>
        <w:t>’</w:t>
      </w:r>
      <w:r w:rsidR="00950688" w:rsidRPr="005D3CD5">
        <w:rPr>
          <w:rFonts w:eastAsiaTheme="minorHAnsi"/>
          <w:lang w:val="fr-FR"/>
        </w:rPr>
        <w:t>avis qu</w:t>
      </w:r>
      <w:r w:rsidR="005D3CD5" w:rsidRPr="005D3CD5">
        <w:rPr>
          <w:rFonts w:eastAsiaTheme="minorHAnsi"/>
          <w:lang w:val="fr-FR"/>
        </w:rPr>
        <w:t>’</w:t>
      </w:r>
      <w:r w:rsidR="00A40AC0" w:rsidRPr="005D3CD5">
        <w:rPr>
          <w:rFonts w:eastAsiaTheme="minorHAnsi"/>
          <w:lang w:val="fr-FR"/>
        </w:rPr>
        <w:t xml:space="preserve">il y a lieu de renvoyer aux </w:t>
      </w:r>
      <w:r w:rsidR="00950688" w:rsidRPr="005D3CD5">
        <w:rPr>
          <w:rFonts w:eastAsiaTheme="minorHAnsi"/>
          <w:lang w:val="fr-FR"/>
        </w:rPr>
        <w:t>P</w:t>
      </w:r>
      <w:r w:rsidR="00A40AC0" w:rsidRPr="005D3CD5">
        <w:rPr>
          <w:rFonts w:eastAsiaTheme="minorHAnsi"/>
          <w:lang w:val="fr-FR"/>
        </w:rPr>
        <w:t>rincipes directeurs du H</w:t>
      </w:r>
      <w:r w:rsidR="00950688" w:rsidRPr="005D3CD5">
        <w:rPr>
          <w:rFonts w:eastAsiaTheme="minorHAnsi"/>
          <w:lang w:val="fr-FR"/>
        </w:rPr>
        <w:t>aut Commissariat des Nations unies pour les Réfugiés (HCR)</w:t>
      </w:r>
      <w:r w:rsidR="00A40AC0" w:rsidRPr="005D3CD5">
        <w:rPr>
          <w:rFonts w:eastAsiaTheme="minorHAnsi"/>
          <w:lang w:val="fr-FR"/>
        </w:rPr>
        <w:t>, qui disposeraient que les demandeurs d</w:t>
      </w:r>
      <w:r w:rsidR="005D3CD5" w:rsidRPr="005D3CD5">
        <w:rPr>
          <w:rFonts w:eastAsiaTheme="minorHAnsi"/>
          <w:lang w:val="fr-FR"/>
        </w:rPr>
        <w:t>’</w:t>
      </w:r>
      <w:r w:rsidR="00A40AC0" w:rsidRPr="005D3CD5">
        <w:rPr>
          <w:rFonts w:eastAsiaTheme="minorHAnsi"/>
          <w:lang w:val="fr-FR"/>
        </w:rPr>
        <w:t>asile «</w:t>
      </w:r>
      <w:r w:rsidR="0012403B" w:rsidRPr="005D3CD5">
        <w:rPr>
          <w:rFonts w:eastAsiaTheme="minorHAnsi"/>
          <w:lang w:val="fr-FR"/>
        </w:rPr>
        <w:t> </w:t>
      </w:r>
      <w:r w:rsidR="00A40AC0" w:rsidRPr="005D3CD5">
        <w:rPr>
          <w:rFonts w:eastAsiaTheme="minorHAnsi"/>
          <w:lang w:val="fr-FR"/>
        </w:rPr>
        <w:t>ont droit aux garanties procédurales minimales</w:t>
      </w:r>
      <w:r w:rsidR="00950688" w:rsidRPr="005D3CD5">
        <w:rPr>
          <w:rFonts w:eastAsiaTheme="minorHAnsi"/>
          <w:lang w:val="fr-FR"/>
        </w:rPr>
        <w:t> </w:t>
      </w:r>
      <w:r w:rsidR="00A40AC0" w:rsidRPr="005D3CD5">
        <w:rPr>
          <w:rFonts w:eastAsiaTheme="minorHAnsi"/>
          <w:lang w:val="fr-FR"/>
        </w:rPr>
        <w:t>» (</w:t>
      </w:r>
      <w:r w:rsidR="00950688" w:rsidRPr="005D3CD5">
        <w:rPr>
          <w:rFonts w:eastAsiaTheme="minorHAnsi"/>
          <w:lang w:val="fr-FR"/>
        </w:rPr>
        <w:t>P</w:t>
      </w:r>
      <w:r w:rsidR="00A40AC0" w:rsidRPr="005D3CD5">
        <w:rPr>
          <w:rFonts w:eastAsiaTheme="minorHAnsi"/>
          <w:lang w:val="fr-FR"/>
        </w:rPr>
        <w:t>rincipe directeur 7).</w:t>
      </w:r>
    </w:p>
    <w:p w:rsidR="00E60556" w:rsidRPr="005D3CD5" w:rsidRDefault="00E60556" w:rsidP="005D3CD5">
      <w:pPr>
        <w:pStyle w:val="ECHRHeading3"/>
        <w:rPr>
          <w:rFonts w:eastAsiaTheme="minorHAnsi"/>
          <w:lang w:val="fr-FR"/>
        </w:rPr>
      </w:pPr>
      <w:r w:rsidRPr="005D3CD5">
        <w:rPr>
          <w:rFonts w:eastAsiaTheme="minorHAnsi"/>
          <w:lang w:val="fr-FR"/>
        </w:rPr>
        <w:t>2.</w:t>
      </w:r>
      <w:r w:rsidR="00B120E7" w:rsidRPr="005D3CD5">
        <w:rPr>
          <w:rFonts w:eastAsiaTheme="minorHAnsi"/>
          <w:lang w:val="fr-FR"/>
        </w:rPr>
        <w:t>  </w:t>
      </w:r>
      <w:r w:rsidRPr="005D3CD5">
        <w:rPr>
          <w:rFonts w:eastAsiaTheme="minorHAnsi"/>
          <w:lang w:val="fr-FR"/>
        </w:rPr>
        <w:t>Appréciation de la Cour</w:t>
      </w:r>
    </w:p>
    <w:p w:rsidR="00E60556" w:rsidRPr="005D3CD5" w:rsidRDefault="00E60556" w:rsidP="005D3CD5">
      <w:pPr>
        <w:pStyle w:val="ECHRHeading4"/>
        <w:rPr>
          <w:rFonts w:eastAsiaTheme="minorHAnsi"/>
          <w:lang w:val="fr-FR"/>
        </w:rPr>
      </w:pPr>
      <w:r w:rsidRPr="005D3CD5">
        <w:rPr>
          <w:rFonts w:eastAsiaTheme="minorHAnsi"/>
          <w:lang w:val="fr-FR"/>
        </w:rPr>
        <w:t>a)</w:t>
      </w:r>
      <w:r w:rsidR="00B120E7" w:rsidRPr="005D3CD5">
        <w:rPr>
          <w:rFonts w:eastAsiaTheme="minorHAnsi"/>
          <w:lang w:val="fr-FR"/>
        </w:rPr>
        <w:t>  </w:t>
      </w:r>
      <w:r w:rsidRPr="005D3CD5">
        <w:rPr>
          <w:rFonts w:eastAsiaTheme="minorHAnsi"/>
          <w:lang w:val="fr-FR"/>
        </w:rPr>
        <w:t>Principes généraux</w:t>
      </w:r>
    </w:p>
    <w:p w:rsidR="00E60556" w:rsidRPr="005D3CD5" w:rsidRDefault="00D70E68" w:rsidP="005D3CD5">
      <w:pPr>
        <w:pStyle w:val="ECHRPara"/>
        <w:rPr>
          <w:rFonts w:eastAsiaTheme="minorHAns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67</w:t>
      </w:r>
      <w:r w:rsidRPr="005D3CD5">
        <w:rPr>
          <w:rFonts w:eastAsiaTheme="minorHAnsi"/>
          <w:lang w:val="fr-FR"/>
        </w:rPr>
        <w:fldChar w:fldCharType="end"/>
      </w:r>
      <w:r w:rsidRPr="005D3CD5">
        <w:rPr>
          <w:rFonts w:eastAsiaTheme="minorHAnsi"/>
          <w:lang w:val="fr-FR"/>
        </w:rPr>
        <w:t>.  </w:t>
      </w:r>
      <w:r w:rsidR="00E60556" w:rsidRPr="005D3CD5">
        <w:rPr>
          <w:rFonts w:eastAsiaTheme="minorHAnsi"/>
          <w:lang w:val="fr-FR"/>
        </w:rPr>
        <w:t>La Cour rappelle que l</w:t>
      </w:r>
      <w:r w:rsidR="005D3CD5" w:rsidRPr="005D3CD5">
        <w:rPr>
          <w:rFonts w:eastAsiaTheme="minorHAnsi"/>
          <w:lang w:val="fr-FR"/>
        </w:rPr>
        <w:t>’</w:t>
      </w:r>
      <w:r w:rsidR="00E60556" w:rsidRPr="005D3CD5">
        <w:rPr>
          <w:rFonts w:eastAsiaTheme="minorHAnsi"/>
          <w:lang w:val="fr-FR"/>
        </w:rPr>
        <w:t xml:space="preserve">article 5 </w:t>
      </w:r>
      <w:r w:rsidR="00E669BC" w:rsidRPr="005D3CD5">
        <w:rPr>
          <w:rFonts w:eastAsiaTheme="minorHAnsi"/>
          <w:lang w:val="fr-FR"/>
        </w:rPr>
        <w:t xml:space="preserve">de la Convention </w:t>
      </w:r>
      <w:r w:rsidR="00E60556" w:rsidRPr="005D3CD5">
        <w:rPr>
          <w:rFonts w:eastAsiaTheme="minorHAnsi"/>
          <w:lang w:val="fr-FR"/>
        </w:rPr>
        <w:t>consacre un droit fondamental, la protection de l</w:t>
      </w:r>
      <w:r w:rsidR="005D3CD5" w:rsidRPr="005D3CD5">
        <w:rPr>
          <w:rFonts w:eastAsiaTheme="minorHAnsi"/>
          <w:lang w:val="fr-FR"/>
        </w:rPr>
        <w:t>’</w:t>
      </w:r>
      <w:r w:rsidR="00E60556" w:rsidRPr="005D3CD5">
        <w:rPr>
          <w:rFonts w:eastAsiaTheme="minorHAnsi"/>
          <w:lang w:val="fr-FR"/>
        </w:rPr>
        <w:t>individu contre toute atteinte arbitraire de l</w:t>
      </w:r>
      <w:r w:rsidR="005D3CD5" w:rsidRPr="005D3CD5">
        <w:rPr>
          <w:rFonts w:eastAsiaTheme="minorHAnsi"/>
          <w:lang w:val="fr-FR"/>
        </w:rPr>
        <w:t>’</w:t>
      </w:r>
      <w:r w:rsidR="00E60556" w:rsidRPr="005D3CD5">
        <w:rPr>
          <w:rFonts w:eastAsiaTheme="minorHAnsi"/>
          <w:lang w:val="fr-FR"/>
        </w:rPr>
        <w:t>État à son droit à la liberté. Les alinéas a) à f) de l</w:t>
      </w:r>
      <w:r w:rsidR="005D3CD5" w:rsidRPr="005D3CD5">
        <w:rPr>
          <w:rFonts w:eastAsiaTheme="minorHAnsi"/>
          <w:lang w:val="fr-FR"/>
        </w:rPr>
        <w:t>’</w:t>
      </w:r>
      <w:r w:rsidR="00E60556" w:rsidRPr="005D3CD5">
        <w:rPr>
          <w:rFonts w:eastAsiaTheme="minorHAnsi"/>
          <w:lang w:val="fr-FR"/>
        </w:rPr>
        <w:t xml:space="preserve">article 5 § 1 </w:t>
      </w:r>
      <w:r w:rsidR="00E669BC" w:rsidRPr="005D3CD5">
        <w:rPr>
          <w:rFonts w:eastAsiaTheme="minorHAnsi"/>
          <w:lang w:val="fr-FR"/>
        </w:rPr>
        <w:t xml:space="preserve">de la Convention </w:t>
      </w:r>
      <w:r w:rsidR="00E60556" w:rsidRPr="005D3CD5">
        <w:rPr>
          <w:rFonts w:eastAsiaTheme="minorHAnsi"/>
          <w:lang w:val="fr-FR"/>
        </w:rPr>
        <w:t>contiennent une liste exhaustive des motifs pour lesquels une personne peut être privée de sa liberté ; pareille mesure n</w:t>
      </w:r>
      <w:r w:rsidR="005D3CD5" w:rsidRPr="005D3CD5">
        <w:rPr>
          <w:rFonts w:eastAsiaTheme="minorHAnsi"/>
          <w:lang w:val="fr-FR"/>
        </w:rPr>
        <w:t>’</w:t>
      </w:r>
      <w:r w:rsidR="00E60556" w:rsidRPr="005D3CD5">
        <w:rPr>
          <w:rFonts w:eastAsiaTheme="minorHAnsi"/>
          <w:lang w:val="fr-FR"/>
        </w:rPr>
        <w:t>est pas régulière si elle ne relève pas de l</w:t>
      </w:r>
      <w:r w:rsidR="005D3CD5" w:rsidRPr="005D3CD5">
        <w:rPr>
          <w:rFonts w:eastAsiaTheme="minorHAnsi"/>
          <w:lang w:val="fr-FR"/>
        </w:rPr>
        <w:t>’</w:t>
      </w:r>
      <w:r w:rsidR="00E60556" w:rsidRPr="005D3CD5">
        <w:rPr>
          <w:rFonts w:eastAsiaTheme="minorHAnsi"/>
          <w:lang w:val="fr-FR"/>
        </w:rPr>
        <w:t>un de ces motifs. De plus, seule une interprétation étroite cadre avec le but de cette disposition : assurer que nul ne soit arbitrairement privé de sa liberté (voir, parmi beaucoup d</w:t>
      </w:r>
      <w:r w:rsidR="005D3CD5" w:rsidRPr="005D3CD5">
        <w:rPr>
          <w:rFonts w:eastAsiaTheme="minorHAnsi"/>
          <w:lang w:val="fr-FR"/>
        </w:rPr>
        <w:t>’</w:t>
      </w:r>
      <w:r w:rsidR="00E60556" w:rsidRPr="005D3CD5">
        <w:rPr>
          <w:rFonts w:eastAsiaTheme="minorHAnsi"/>
          <w:lang w:val="fr-FR"/>
        </w:rPr>
        <w:t xml:space="preserve">autres, </w:t>
      </w:r>
      <w:r w:rsidR="00E60556" w:rsidRPr="005D3CD5">
        <w:rPr>
          <w:rFonts w:eastAsiaTheme="minorHAnsi"/>
          <w:i/>
          <w:lang w:val="fr-FR"/>
        </w:rPr>
        <w:t>Giulia Manzoni c. Italie,</w:t>
      </w:r>
      <w:r w:rsidR="00E60556" w:rsidRPr="005D3CD5">
        <w:rPr>
          <w:rFonts w:eastAsiaTheme="minorHAnsi"/>
          <w:lang w:val="fr-FR"/>
        </w:rPr>
        <w:t xml:space="preserve"> 1</w:t>
      </w:r>
      <w:r w:rsidR="00E60556" w:rsidRPr="005D3CD5">
        <w:rPr>
          <w:rFonts w:eastAsiaTheme="minorHAnsi"/>
          <w:vertAlign w:val="superscript"/>
          <w:lang w:val="fr-FR"/>
        </w:rPr>
        <w:t xml:space="preserve">er </w:t>
      </w:r>
      <w:r w:rsidR="00E60556" w:rsidRPr="005D3CD5">
        <w:rPr>
          <w:rFonts w:eastAsiaTheme="minorHAnsi"/>
          <w:lang w:val="fr-FR"/>
        </w:rPr>
        <w:t xml:space="preserve">juillet 1997, § 25, </w:t>
      </w:r>
      <w:r w:rsidR="00E60556" w:rsidRPr="005D3CD5">
        <w:rPr>
          <w:rFonts w:eastAsiaTheme="minorHAnsi"/>
          <w:i/>
          <w:lang w:val="fr-FR"/>
        </w:rPr>
        <w:t>Recueil</w:t>
      </w:r>
      <w:r w:rsidR="00E60556" w:rsidRPr="005D3CD5">
        <w:rPr>
          <w:rFonts w:eastAsiaTheme="minorHAnsi"/>
          <w:lang w:val="fr-FR"/>
        </w:rPr>
        <w:t xml:space="preserve"> 1997-IV, et </w:t>
      </w:r>
      <w:r w:rsidR="00E60556" w:rsidRPr="005D3CD5">
        <w:rPr>
          <w:rFonts w:eastAsiaTheme="minorHAnsi"/>
          <w:i/>
          <w:lang w:val="fr-FR"/>
        </w:rPr>
        <w:t>Velinov c.</w:t>
      </w:r>
      <w:r w:rsidR="0012403B" w:rsidRPr="005D3CD5">
        <w:rPr>
          <w:rFonts w:eastAsiaTheme="minorHAnsi"/>
          <w:i/>
          <w:lang w:val="fr-FR"/>
        </w:rPr>
        <w:t> </w:t>
      </w:r>
      <w:r w:rsidR="00E60556" w:rsidRPr="005D3CD5">
        <w:rPr>
          <w:rFonts w:eastAsiaTheme="minorHAnsi"/>
          <w:i/>
          <w:lang w:val="fr-FR"/>
        </w:rPr>
        <w:t>l</w:t>
      </w:r>
      <w:r w:rsidR="005D3CD5" w:rsidRPr="005D3CD5">
        <w:rPr>
          <w:rFonts w:eastAsiaTheme="minorHAnsi"/>
          <w:i/>
          <w:lang w:val="fr-FR"/>
        </w:rPr>
        <w:t>’</w:t>
      </w:r>
      <w:r w:rsidR="00E60556" w:rsidRPr="005D3CD5">
        <w:rPr>
          <w:rFonts w:eastAsiaTheme="minorHAnsi"/>
          <w:i/>
          <w:lang w:val="fr-FR"/>
        </w:rPr>
        <w:t>ex</w:t>
      </w:r>
      <w:r w:rsidR="00E669BC" w:rsidRPr="005D3CD5">
        <w:rPr>
          <w:rFonts w:eastAsiaTheme="minorHAnsi"/>
          <w:i/>
          <w:lang w:val="fr-FR"/>
        </w:rPr>
        <w:noBreakHyphen/>
      </w:r>
      <w:r w:rsidR="00E60556" w:rsidRPr="005D3CD5">
        <w:rPr>
          <w:rFonts w:eastAsiaTheme="minorHAnsi"/>
          <w:i/>
          <w:lang w:val="fr-FR"/>
        </w:rPr>
        <w:t>République yougoslave de Macédoine</w:t>
      </w:r>
      <w:r w:rsidR="00E60556" w:rsidRPr="005D3CD5">
        <w:rPr>
          <w:rFonts w:eastAsiaTheme="minorHAnsi"/>
          <w:lang w:val="fr-FR"/>
        </w:rPr>
        <w:t>, n</w:t>
      </w:r>
      <w:r w:rsidR="00E60556" w:rsidRPr="005D3CD5">
        <w:rPr>
          <w:rFonts w:eastAsiaTheme="minorHAnsi"/>
          <w:vertAlign w:val="superscript"/>
          <w:lang w:val="fr-FR"/>
        </w:rPr>
        <w:t>o</w:t>
      </w:r>
      <w:r w:rsidR="009E223A" w:rsidRPr="005D3CD5">
        <w:rPr>
          <w:rFonts w:eastAsiaTheme="minorHAnsi"/>
          <w:vertAlign w:val="superscript"/>
          <w:lang w:val="fr-FR"/>
        </w:rPr>
        <w:t xml:space="preserve"> </w:t>
      </w:r>
      <w:r w:rsidR="009E223A" w:rsidRPr="005D3CD5">
        <w:rPr>
          <w:lang w:val="fr-FR"/>
        </w:rPr>
        <w:t>16880/08</w:t>
      </w:r>
      <w:r w:rsidR="00E60556" w:rsidRPr="005D3CD5">
        <w:rPr>
          <w:rFonts w:eastAsiaTheme="minorHAnsi"/>
          <w:lang w:val="fr-FR"/>
        </w:rPr>
        <w:t>, § 49, 19</w:t>
      </w:r>
      <w:r w:rsidR="0012403B" w:rsidRPr="005D3CD5">
        <w:rPr>
          <w:rFonts w:eastAsiaTheme="minorHAnsi"/>
          <w:lang w:val="fr-FR"/>
        </w:rPr>
        <w:t> </w:t>
      </w:r>
      <w:r w:rsidR="00E60556" w:rsidRPr="005D3CD5">
        <w:rPr>
          <w:rFonts w:eastAsiaTheme="minorHAnsi"/>
          <w:lang w:val="fr-FR"/>
        </w:rPr>
        <w:t>septembre 2013).</w:t>
      </w:r>
    </w:p>
    <w:p w:rsidR="00E60556" w:rsidRPr="005D3CD5" w:rsidRDefault="00D70E68" w:rsidP="005D3CD5">
      <w:pPr>
        <w:pStyle w:val="ECHRPara"/>
        <w:rPr>
          <w:i/>
          <w:lang w:val="fr-FR"/>
        </w:rPr>
      </w:pPr>
      <w:r w:rsidRPr="005D3CD5">
        <w:rPr>
          <w:rFonts w:eastAsiaTheme="minorHAnsi"/>
          <w:lang w:val="fr-FR"/>
        </w:rPr>
        <w:fldChar w:fldCharType="begin"/>
      </w:r>
      <w:r w:rsidRPr="005D3CD5">
        <w:rPr>
          <w:rFonts w:eastAsiaTheme="minorHAnsi"/>
          <w:lang w:val="fr-FR"/>
        </w:rPr>
        <w:instrText xml:space="preserve"> SEQ level0 \*arabic </w:instrText>
      </w:r>
      <w:r w:rsidRPr="005D3CD5">
        <w:rPr>
          <w:rFonts w:eastAsiaTheme="minorHAnsi"/>
          <w:lang w:val="fr-FR"/>
        </w:rPr>
        <w:fldChar w:fldCharType="separate"/>
      </w:r>
      <w:r w:rsidR="005D3CD5" w:rsidRPr="005D3CD5">
        <w:rPr>
          <w:rFonts w:eastAsiaTheme="minorHAnsi"/>
          <w:noProof/>
          <w:lang w:val="fr-FR"/>
        </w:rPr>
        <w:t>68</w:t>
      </w:r>
      <w:r w:rsidRPr="005D3CD5">
        <w:rPr>
          <w:rFonts w:eastAsiaTheme="minorHAnsi"/>
          <w:lang w:val="fr-FR"/>
        </w:rPr>
        <w:fldChar w:fldCharType="end"/>
      </w:r>
      <w:r w:rsidRPr="005D3CD5">
        <w:rPr>
          <w:rFonts w:eastAsiaTheme="minorHAnsi"/>
          <w:lang w:val="fr-FR"/>
        </w:rPr>
        <w:t>.  </w:t>
      </w:r>
      <w:r w:rsidR="00E60556" w:rsidRPr="005D3CD5">
        <w:rPr>
          <w:rFonts w:eastAsiaTheme="minorHAnsi"/>
          <w:lang w:val="fr-FR"/>
        </w:rPr>
        <w:t>Énoncée à l</w:t>
      </w:r>
      <w:r w:rsidR="005D3CD5" w:rsidRPr="005D3CD5">
        <w:rPr>
          <w:rFonts w:eastAsiaTheme="minorHAnsi"/>
          <w:lang w:val="fr-FR"/>
        </w:rPr>
        <w:t>’</w:t>
      </w:r>
      <w:r w:rsidR="00E60556" w:rsidRPr="005D3CD5">
        <w:rPr>
          <w:rFonts w:eastAsiaTheme="minorHAnsi"/>
          <w:lang w:val="fr-FR"/>
        </w:rPr>
        <w:t>alinéa f) de l</w:t>
      </w:r>
      <w:r w:rsidR="005D3CD5" w:rsidRPr="005D3CD5">
        <w:rPr>
          <w:rFonts w:eastAsiaTheme="minorHAnsi"/>
          <w:lang w:val="fr-FR"/>
        </w:rPr>
        <w:t>’</w:t>
      </w:r>
      <w:r w:rsidR="00E60556" w:rsidRPr="005D3CD5">
        <w:rPr>
          <w:rFonts w:eastAsiaTheme="minorHAnsi"/>
          <w:lang w:val="fr-FR"/>
        </w:rPr>
        <w:t>article 5 § 1</w:t>
      </w:r>
      <w:r w:rsidR="00E669BC" w:rsidRPr="005D3CD5">
        <w:rPr>
          <w:rFonts w:eastAsiaTheme="minorHAnsi"/>
          <w:lang w:val="fr-FR"/>
        </w:rPr>
        <w:t xml:space="preserve"> précité</w:t>
      </w:r>
      <w:r w:rsidR="00E60556" w:rsidRPr="005D3CD5">
        <w:rPr>
          <w:rFonts w:eastAsiaTheme="minorHAnsi"/>
          <w:lang w:val="fr-FR"/>
        </w:rPr>
        <w:t>, l</w:t>
      </w:r>
      <w:r w:rsidR="005D3CD5" w:rsidRPr="005D3CD5">
        <w:rPr>
          <w:rFonts w:eastAsiaTheme="minorHAnsi"/>
          <w:lang w:val="fr-FR"/>
        </w:rPr>
        <w:t>’</w:t>
      </w:r>
      <w:r w:rsidR="00E60556" w:rsidRPr="005D3CD5">
        <w:rPr>
          <w:rFonts w:eastAsiaTheme="minorHAnsi"/>
          <w:lang w:val="fr-FR"/>
        </w:rPr>
        <w:t>une des exceptions au droit à la liberté permet aux États de restreindre celle des étrangers dans le cadre du contrôle de l</w:t>
      </w:r>
      <w:r w:rsidR="005D3CD5" w:rsidRPr="005D3CD5">
        <w:rPr>
          <w:rFonts w:eastAsiaTheme="minorHAnsi"/>
          <w:lang w:val="fr-FR"/>
        </w:rPr>
        <w:t>’</w:t>
      </w:r>
      <w:r w:rsidR="00E60556" w:rsidRPr="005D3CD5">
        <w:rPr>
          <w:rFonts w:eastAsiaTheme="minorHAnsi"/>
          <w:lang w:val="fr-FR"/>
        </w:rPr>
        <w:t>immigration (</w:t>
      </w:r>
      <w:r w:rsidR="00E60556" w:rsidRPr="005D3CD5">
        <w:rPr>
          <w:rFonts w:eastAsiaTheme="minorHAnsi"/>
          <w:i/>
          <w:lang w:val="fr-FR"/>
        </w:rPr>
        <w:t>Saadi</w:t>
      </w:r>
      <w:r w:rsidR="00E669BC" w:rsidRPr="005D3CD5">
        <w:rPr>
          <w:rFonts w:eastAsiaTheme="minorHAnsi"/>
          <w:lang w:val="fr-FR"/>
        </w:rPr>
        <w:t xml:space="preserve">, précité, </w:t>
      </w:r>
      <w:r w:rsidR="00E60556" w:rsidRPr="005D3CD5">
        <w:rPr>
          <w:rFonts w:eastAsiaTheme="minorHAnsi"/>
          <w:lang w:val="fr-FR"/>
        </w:rPr>
        <w:t>§ 43</w:t>
      </w:r>
      <w:r w:rsidR="00E669BC" w:rsidRPr="005D3CD5">
        <w:rPr>
          <w:rFonts w:eastAsiaTheme="minorHAnsi"/>
          <w:lang w:val="fr-FR"/>
        </w:rPr>
        <w:t xml:space="preserve">, </w:t>
      </w:r>
      <w:r w:rsidR="00E60556" w:rsidRPr="005D3CD5">
        <w:rPr>
          <w:rFonts w:eastAsiaTheme="minorHAnsi"/>
          <w:lang w:val="fr-FR"/>
        </w:rPr>
        <w:t>A</w:t>
      </w:r>
      <w:r w:rsidR="00E60556" w:rsidRPr="005D3CD5">
        <w:rPr>
          <w:rFonts w:eastAsiaTheme="minorHAnsi"/>
          <w:i/>
          <w:lang w:val="fr-FR"/>
        </w:rPr>
        <w:t>. et autres c.</w:t>
      </w:r>
      <w:r w:rsidR="00E669BC" w:rsidRPr="005D3CD5">
        <w:rPr>
          <w:rFonts w:eastAsiaTheme="minorHAnsi"/>
          <w:i/>
          <w:lang w:val="fr-FR"/>
        </w:rPr>
        <w:t> </w:t>
      </w:r>
      <w:r w:rsidR="00E60556" w:rsidRPr="005D3CD5">
        <w:rPr>
          <w:rFonts w:eastAsiaTheme="minorHAnsi"/>
          <w:i/>
          <w:lang w:val="fr-FR"/>
        </w:rPr>
        <w:t>Royaume-Uni</w:t>
      </w:r>
      <w:r w:rsidR="00E60556" w:rsidRPr="005D3CD5">
        <w:rPr>
          <w:rFonts w:eastAsiaTheme="minorHAnsi"/>
          <w:lang w:val="fr-FR"/>
        </w:rPr>
        <w:t xml:space="preserve"> [GC], n</w:t>
      </w:r>
      <w:r w:rsidR="00E60556" w:rsidRPr="005D3CD5">
        <w:rPr>
          <w:rFonts w:eastAsiaTheme="minorHAnsi"/>
          <w:vertAlign w:val="superscript"/>
          <w:lang w:val="fr-FR"/>
        </w:rPr>
        <w:t>o</w:t>
      </w:r>
      <w:r w:rsidR="009E223A" w:rsidRPr="005D3CD5">
        <w:rPr>
          <w:lang w:val="fr-FR"/>
        </w:rPr>
        <w:t>3455/05</w:t>
      </w:r>
      <w:r w:rsidR="00E60556" w:rsidRPr="005D3CD5">
        <w:rPr>
          <w:rFonts w:eastAsiaTheme="minorHAnsi"/>
          <w:lang w:val="fr-FR"/>
        </w:rPr>
        <w:t>, §§ 162-163, CEDH 2009</w:t>
      </w:r>
      <w:r w:rsidR="00E669BC" w:rsidRPr="005D3CD5">
        <w:rPr>
          <w:rFonts w:eastAsiaTheme="minorHAnsi"/>
          <w:lang w:val="fr-FR"/>
        </w:rPr>
        <w:t xml:space="preserve">, et </w:t>
      </w:r>
      <w:r w:rsidR="00BF6B4E" w:rsidRPr="005D3CD5">
        <w:rPr>
          <w:i/>
          <w:lang w:val="fr-FR"/>
        </w:rPr>
        <w:t>Abdolkhani et Karimnia c. Turquie</w:t>
      </w:r>
      <w:r w:rsidR="00BF6B4E" w:rsidRPr="005D3CD5">
        <w:rPr>
          <w:lang w:val="fr-FR"/>
        </w:rPr>
        <w:t>, n</w:t>
      </w:r>
      <w:r w:rsidR="00BF6B4E" w:rsidRPr="005D3CD5">
        <w:rPr>
          <w:vertAlign w:val="superscript"/>
          <w:lang w:val="fr-FR"/>
        </w:rPr>
        <w:t>o</w:t>
      </w:r>
      <w:r w:rsidR="00BF6B4E" w:rsidRPr="005D3CD5">
        <w:rPr>
          <w:lang w:val="fr-FR"/>
        </w:rPr>
        <w:t xml:space="preserve"> 30471/08</w:t>
      </w:r>
      <w:r w:rsidR="00BF6B4E" w:rsidRPr="005D3CD5">
        <w:rPr>
          <w:szCs w:val="24"/>
          <w:lang w:val="fr-FR"/>
        </w:rPr>
        <w:t xml:space="preserve">, § 128, </w:t>
      </w:r>
      <w:r w:rsidR="00BF6B4E" w:rsidRPr="005D3CD5">
        <w:rPr>
          <w:lang w:val="fr-FR"/>
        </w:rPr>
        <w:t>22 septembre 2009</w:t>
      </w:r>
      <w:r w:rsidR="00E60556" w:rsidRPr="005D3CD5">
        <w:rPr>
          <w:rFonts w:eastAsiaTheme="minorHAnsi"/>
          <w:lang w:val="fr-FR"/>
        </w:rPr>
        <w:t>).</w:t>
      </w:r>
    </w:p>
    <w:p w:rsidR="00E60556" w:rsidRPr="005D3CD5" w:rsidRDefault="00664C6A" w:rsidP="005D3CD5">
      <w:pPr>
        <w:pStyle w:val="ECHRPara"/>
        <w:rPr>
          <w:rFonts w:ascii="Times New Roman" w:eastAsiaTheme="minorHAnsi" w:hAnsi="Times New Roman" w:cs="Times New Roman"/>
          <w:szCs w:val="24"/>
          <w:lang w:val="fr-FR"/>
        </w:rPr>
      </w:pPr>
      <w:r w:rsidRPr="005D3CD5">
        <w:rPr>
          <w:rFonts w:ascii="Times New Roman" w:eastAsiaTheme="minorHAnsi" w:hAnsi="Times New Roman" w:cs="Times New Roman"/>
          <w:szCs w:val="24"/>
          <w:lang w:val="fr-FR"/>
        </w:rPr>
        <w:fldChar w:fldCharType="begin"/>
      </w:r>
      <w:r w:rsidRPr="005D3CD5">
        <w:rPr>
          <w:rFonts w:ascii="Times New Roman" w:eastAsiaTheme="minorHAnsi" w:hAnsi="Times New Roman" w:cs="Times New Roman"/>
          <w:szCs w:val="24"/>
          <w:lang w:val="fr-FR"/>
        </w:rPr>
        <w:instrText xml:space="preserve"> SEQ level0 \*arabic </w:instrText>
      </w:r>
      <w:r w:rsidRPr="005D3CD5">
        <w:rPr>
          <w:rFonts w:ascii="Times New Roman" w:eastAsiaTheme="minorHAnsi" w:hAnsi="Times New Roman" w:cs="Times New Roman"/>
          <w:szCs w:val="24"/>
          <w:lang w:val="fr-FR"/>
        </w:rPr>
        <w:fldChar w:fldCharType="separate"/>
      </w:r>
      <w:r w:rsidR="005D3CD5" w:rsidRPr="005D3CD5">
        <w:rPr>
          <w:rFonts w:ascii="Times New Roman" w:eastAsiaTheme="minorHAnsi" w:hAnsi="Times New Roman" w:cs="Times New Roman"/>
          <w:noProof/>
          <w:szCs w:val="24"/>
          <w:lang w:val="fr-FR"/>
        </w:rPr>
        <w:t>69</w:t>
      </w:r>
      <w:r w:rsidRPr="005D3CD5">
        <w:rPr>
          <w:rFonts w:ascii="Times New Roman" w:eastAsiaTheme="minorHAnsi" w:hAnsi="Times New Roman" w:cs="Times New Roman"/>
          <w:szCs w:val="24"/>
          <w:lang w:val="fr-FR"/>
        </w:rPr>
        <w:fldChar w:fldCharType="end"/>
      </w:r>
      <w:r w:rsidRPr="005D3CD5">
        <w:rPr>
          <w:rFonts w:ascii="Times New Roman" w:eastAsiaTheme="minorHAnsi" w:hAnsi="Times New Roman" w:cs="Times New Roman"/>
          <w:szCs w:val="24"/>
          <w:lang w:val="fr-FR"/>
        </w:rPr>
        <w:t>.  </w:t>
      </w:r>
      <w:r w:rsidR="00E60556" w:rsidRPr="005D3CD5">
        <w:rPr>
          <w:rFonts w:ascii="Times New Roman" w:eastAsiaTheme="minorHAnsi" w:hAnsi="Times New Roman" w:cs="Times New Roman"/>
          <w:szCs w:val="24"/>
          <w:lang w:val="fr-FR"/>
        </w:rPr>
        <w:t>La privation de liberté doit être « régulière ». En matière de</w:t>
      </w:r>
      <w:r w:rsidR="003A7755" w:rsidRPr="005D3CD5">
        <w:rPr>
          <w:rFonts w:ascii="Times New Roman" w:eastAsiaTheme="minorHAnsi" w:hAnsi="Times New Roman" w:cs="Times New Roman"/>
          <w:szCs w:val="24"/>
          <w:lang w:val="fr-FR"/>
        </w:rPr>
        <w:t xml:space="preserve"> </w:t>
      </w:r>
      <w:r w:rsidR="00E60556" w:rsidRPr="005D3CD5">
        <w:rPr>
          <w:rFonts w:ascii="Times New Roman" w:eastAsiaTheme="minorHAnsi" w:hAnsi="Times New Roman" w:cs="Times New Roman"/>
          <w:szCs w:val="24"/>
          <w:lang w:val="fr-FR"/>
        </w:rPr>
        <w:t>«</w:t>
      </w:r>
      <w:r w:rsidR="003A7755" w:rsidRPr="005D3CD5">
        <w:rPr>
          <w:rFonts w:ascii="Times New Roman" w:eastAsiaTheme="minorHAnsi" w:hAnsi="Times New Roman" w:cs="Times New Roman"/>
          <w:szCs w:val="24"/>
          <w:lang w:val="fr-FR"/>
        </w:rPr>
        <w:t> </w:t>
      </w:r>
      <w:r w:rsidR="00E60556" w:rsidRPr="005D3CD5">
        <w:rPr>
          <w:rFonts w:ascii="Times New Roman" w:eastAsiaTheme="minorHAnsi" w:hAnsi="Times New Roman" w:cs="Times New Roman"/>
          <w:szCs w:val="24"/>
          <w:lang w:val="fr-FR"/>
        </w:rPr>
        <w:t>régularité » d</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une détention, y compris l</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observation des « voies légales », la Convention renvoie pour l</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essentiel à la législation nationale et consacre l</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obligation d</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en observer les normes de fond comme de procédure, mais elle exige de surcroît la conformité de toute privation d</w:t>
      </w:r>
      <w:r w:rsidR="00E27B2A" w:rsidRPr="005D3CD5">
        <w:rPr>
          <w:rFonts w:ascii="Times New Roman" w:eastAsiaTheme="minorHAnsi" w:hAnsi="Times New Roman" w:cs="Times New Roman"/>
          <w:szCs w:val="24"/>
          <w:lang w:val="fr-FR"/>
        </w:rPr>
        <w:t>e liberté au but de l</w:t>
      </w:r>
      <w:r w:rsidR="005D3CD5" w:rsidRPr="005D3CD5">
        <w:rPr>
          <w:rFonts w:ascii="Times New Roman" w:eastAsiaTheme="minorHAnsi" w:hAnsi="Times New Roman" w:cs="Times New Roman"/>
          <w:szCs w:val="24"/>
          <w:lang w:val="fr-FR"/>
        </w:rPr>
        <w:t>’</w:t>
      </w:r>
      <w:r w:rsidR="00E27B2A" w:rsidRPr="005D3CD5">
        <w:rPr>
          <w:rFonts w:ascii="Times New Roman" w:eastAsiaTheme="minorHAnsi" w:hAnsi="Times New Roman" w:cs="Times New Roman"/>
          <w:szCs w:val="24"/>
          <w:lang w:val="fr-FR"/>
        </w:rPr>
        <w:t>article 5 </w:t>
      </w:r>
      <w:r w:rsidR="00D30B6F" w:rsidRPr="005D3CD5">
        <w:rPr>
          <w:rFonts w:ascii="Times New Roman" w:eastAsiaTheme="minorHAnsi" w:hAnsi="Times New Roman" w:cs="Times New Roman"/>
          <w:szCs w:val="24"/>
          <w:lang w:val="fr-FR"/>
        </w:rPr>
        <w:t xml:space="preserve">de la Convention </w:t>
      </w:r>
      <w:r w:rsidR="00E60556" w:rsidRPr="005D3CD5">
        <w:rPr>
          <w:rFonts w:ascii="Times New Roman" w:eastAsiaTheme="minorHAnsi" w:hAnsi="Times New Roman" w:cs="Times New Roman"/>
          <w:szCs w:val="24"/>
          <w:lang w:val="fr-FR"/>
        </w:rPr>
        <w:t>: protéger l</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individu contre l</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arbitraire (</w:t>
      </w:r>
      <w:r w:rsidR="00E60556" w:rsidRPr="005D3CD5">
        <w:rPr>
          <w:rFonts w:ascii="Times New Roman" w:eastAsiaTheme="minorHAnsi" w:hAnsi="Times New Roman" w:cs="Times New Roman"/>
          <w:i/>
          <w:szCs w:val="24"/>
          <w:lang w:val="fr-FR"/>
        </w:rPr>
        <w:t>Herczegfalvy c. Autriche</w:t>
      </w:r>
      <w:r w:rsidR="00E60556" w:rsidRPr="005D3CD5">
        <w:rPr>
          <w:rFonts w:ascii="Times New Roman" w:eastAsiaTheme="minorHAnsi" w:hAnsi="Times New Roman" w:cs="Times New Roman"/>
          <w:szCs w:val="24"/>
          <w:lang w:val="fr-FR"/>
        </w:rPr>
        <w:t>, 24 septembre 1992, § 63, série A n</w:t>
      </w:r>
      <w:r w:rsidR="00E60556" w:rsidRPr="005D3CD5">
        <w:rPr>
          <w:rFonts w:ascii="Times New Roman" w:eastAsiaTheme="minorHAnsi" w:hAnsi="Times New Roman" w:cs="Times New Roman"/>
          <w:szCs w:val="24"/>
          <w:vertAlign w:val="superscript"/>
          <w:lang w:val="fr-FR"/>
        </w:rPr>
        <w:t>o</w:t>
      </w:r>
      <w:r w:rsidR="00E95EA5" w:rsidRPr="005D3CD5">
        <w:rPr>
          <w:rFonts w:ascii="Times New Roman" w:eastAsiaTheme="minorHAnsi" w:hAnsi="Times New Roman" w:cs="Times New Roman"/>
          <w:szCs w:val="24"/>
          <w:vertAlign w:val="superscript"/>
          <w:lang w:val="fr-FR"/>
        </w:rPr>
        <w:t> </w:t>
      </w:r>
      <w:r w:rsidR="00E60556" w:rsidRPr="005D3CD5">
        <w:rPr>
          <w:rFonts w:ascii="Times New Roman" w:eastAsiaTheme="minorHAnsi" w:hAnsi="Times New Roman" w:cs="Times New Roman"/>
          <w:szCs w:val="24"/>
          <w:lang w:val="fr-FR"/>
        </w:rPr>
        <w:t xml:space="preserve">244, et </w:t>
      </w:r>
      <w:r w:rsidR="005D3CD5" w:rsidRPr="005D3CD5">
        <w:rPr>
          <w:rFonts w:ascii="Times New Roman" w:eastAsiaTheme="minorHAnsi" w:hAnsi="Times New Roman" w:cs="Times New Roman"/>
          <w:i/>
          <w:szCs w:val="24"/>
          <w:lang w:val="fr-FR"/>
        </w:rPr>
        <w:lastRenderedPageBreak/>
        <w:t>L.M. </w:t>
      </w:r>
      <w:r w:rsidR="00E60556" w:rsidRPr="005D3CD5">
        <w:rPr>
          <w:rFonts w:ascii="Times New Roman" w:eastAsiaTheme="minorHAnsi" w:hAnsi="Times New Roman" w:cs="Times New Roman"/>
          <w:i/>
          <w:szCs w:val="24"/>
          <w:lang w:val="fr-FR"/>
        </w:rPr>
        <w:t>c. Slovénie,</w:t>
      </w:r>
      <w:r w:rsidR="00E60556" w:rsidRPr="005D3CD5">
        <w:rPr>
          <w:rFonts w:ascii="Times New Roman" w:eastAsiaTheme="minorHAnsi" w:hAnsi="Times New Roman" w:cs="Times New Roman"/>
          <w:szCs w:val="24"/>
          <w:lang w:val="fr-FR"/>
        </w:rPr>
        <w:t xml:space="preserve"> n</w:t>
      </w:r>
      <w:r w:rsidR="00E60556" w:rsidRPr="005D3CD5">
        <w:rPr>
          <w:rFonts w:ascii="Times New Roman" w:eastAsiaTheme="minorHAnsi" w:hAnsi="Times New Roman" w:cs="Times New Roman"/>
          <w:szCs w:val="24"/>
          <w:vertAlign w:val="superscript"/>
          <w:lang w:val="fr-FR"/>
        </w:rPr>
        <w:t>o</w:t>
      </w:r>
      <w:r w:rsidR="00DB40B6" w:rsidRPr="005D3CD5">
        <w:rPr>
          <w:rFonts w:ascii="Times New Roman" w:eastAsiaTheme="minorHAnsi" w:hAnsi="Times New Roman" w:cs="Times New Roman"/>
          <w:szCs w:val="24"/>
          <w:vertAlign w:val="superscript"/>
          <w:lang w:val="fr-FR"/>
        </w:rPr>
        <w:t xml:space="preserve"> </w:t>
      </w:r>
      <w:r w:rsidR="00DB40B6" w:rsidRPr="005D3CD5">
        <w:rPr>
          <w:lang w:val="fr-FR"/>
        </w:rPr>
        <w:t>32863/05</w:t>
      </w:r>
      <w:r w:rsidR="00E60556" w:rsidRPr="005D3CD5">
        <w:rPr>
          <w:rFonts w:ascii="Times New Roman" w:eastAsiaTheme="minorHAnsi" w:hAnsi="Times New Roman" w:cs="Times New Roman"/>
          <w:szCs w:val="24"/>
          <w:lang w:val="fr-FR"/>
        </w:rPr>
        <w:t>, § 121, 12 juin 2014). En exigeant que toute privation de liberté soit effectuée « selon les voies légales », l</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article</w:t>
      </w:r>
      <w:r w:rsidR="00D30B6F" w:rsidRPr="005D3CD5">
        <w:rPr>
          <w:rFonts w:ascii="Times New Roman" w:eastAsiaTheme="minorHAnsi" w:hAnsi="Times New Roman" w:cs="Times New Roman"/>
          <w:szCs w:val="24"/>
          <w:lang w:val="fr-FR"/>
        </w:rPr>
        <w:t> </w:t>
      </w:r>
      <w:r w:rsidR="00E60556" w:rsidRPr="005D3CD5">
        <w:rPr>
          <w:rFonts w:ascii="Times New Roman" w:eastAsiaTheme="minorHAnsi" w:hAnsi="Times New Roman" w:cs="Times New Roman"/>
          <w:szCs w:val="24"/>
          <w:lang w:val="fr-FR"/>
        </w:rPr>
        <w:t>5</w:t>
      </w:r>
      <w:r w:rsidR="00D30B6F" w:rsidRPr="005D3CD5">
        <w:rPr>
          <w:rFonts w:ascii="Times New Roman" w:eastAsiaTheme="minorHAnsi" w:hAnsi="Times New Roman" w:cs="Times New Roman"/>
          <w:szCs w:val="24"/>
          <w:lang w:val="fr-FR"/>
        </w:rPr>
        <w:t> </w:t>
      </w:r>
      <w:r w:rsidR="00E60556" w:rsidRPr="005D3CD5">
        <w:rPr>
          <w:rFonts w:ascii="Times New Roman" w:eastAsiaTheme="minorHAnsi" w:hAnsi="Times New Roman" w:cs="Times New Roman"/>
          <w:szCs w:val="24"/>
          <w:lang w:val="fr-FR"/>
        </w:rPr>
        <w:t>§</w:t>
      </w:r>
      <w:r w:rsidR="00D30B6F" w:rsidRPr="005D3CD5">
        <w:rPr>
          <w:rFonts w:ascii="Times New Roman" w:eastAsiaTheme="minorHAnsi" w:hAnsi="Times New Roman" w:cs="Times New Roman"/>
          <w:szCs w:val="24"/>
          <w:lang w:val="fr-FR"/>
        </w:rPr>
        <w:t> </w:t>
      </w:r>
      <w:r w:rsidR="00E60556" w:rsidRPr="005D3CD5">
        <w:rPr>
          <w:rFonts w:ascii="Times New Roman" w:eastAsiaTheme="minorHAnsi" w:hAnsi="Times New Roman" w:cs="Times New Roman"/>
          <w:szCs w:val="24"/>
          <w:lang w:val="fr-FR"/>
        </w:rPr>
        <w:t xml:space="preserve">1 </w:t>
      </w:r>
      <w:r w:rsidR="00D30B6F" w:rsidRPr="005D3CD5">
        <w:rPr>
          <w:rFonts w:ascii="Times New Roman" w:eastAsiaTheme="minorHAnsi" w:hAnsi="Times New Roman" w:cs="Times New Roman"/>
          <w:szCs w:val="24"/>
          <w:lang w:val="fr-FR"/>
        </w:rPr>
        <w:t xml:space="preserve">de la Convention </w:t>
      </w:r>
      <w:r w:rsidR="00E60556" w:rsidRPr="005D3CD5">
        <w:rPr>
          <w:rFonts w:ascii="Times New Roman" w:eastAsiaTheme="minorHAnsi" w:hAnsi="Times New Roman" w:cs="Times New Roman"/>
          <w:szCs w:val="24"/>
          <w:lang w:val="fr-FR"/>
        </w:rPr>
        <w:t>impose en premier lieu que toute arrestation ou détention ait une base légale en droit interne. Toutefois, ces termes ne se bornent pas à renvoyer au droit interne. Ils concernent aussi la qualité de la loi</w:t>
      </w:r>
      <w:r w:rsidR="00D90CE8" w:rsidRPr="005D3CD5">
        <w:rPr>
          <w:rFonts w:ascii="Times New Roman" w:eastAsiaTheme="minorHAnsi" w:hAnsi="Times New Roman" w:cs="Times New Roman"/>
          <w:szCs w:val="24"/>
          <w:lang w:val="fr-FR"/>
        </w:rPr>
        <w:t xml:space="preserve"> : </w:t>
      </w:r>
      <w:r w:rsidR="00E60556" w:rsidRPr="005D3CD5">
        <w:rPr>
          <w:rFonts w:ascii="Times New Roman" w:eastAsiaTheme="minorHAnsi" w:hAnsi="Times New Roman" w:cs="Times New Roman"/>
          <w:szCs w:val="24"/>
          <w:lang w:val="fr-FR"/>
        </w:rPr>
        <w:t>ils la veulent compatible avec la prééminence du droit, notion inhérente à l</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ensemble des articles de la Convention (</w:t>
      </w:r>
      <w:r w:rsidR="00E60556" w:rsidRPr="005D3CD5">
        <w:rPr>
          <w:rFonts w:ascii="Times New Roman" w:eastAsiaTheme="minorHAnsi" w:hAnsi="Times New Roman" w:cs="Times New Roman"/>
          <w:i/>
          <w:szCs w:val="24"/>
          <w:lang w:val="fr-FR"/>
        </w:rPr>
        <w:t>Amuur</w:t>
      </w:r>
      <w:r w:rsidR="00E60556" w:rsidRPr="005D3CD5">
        <w:rPr>
          <w:rFonts w:ascii="Times New Roman" w:eastAsiaTheme="minorHAnsi" w:hAnsi="Times New Roman" w:cs="Times New Roman"/>
          <w:szCs w:val="24"/>
          <w:lang w:val="fr-FR"/>
        </w:rPr>
        <w:t xml:space="preserve">, précité, § 50, et </w:t>
      </w:r>
      <w:r w:rsidR="00E60556" w:rsidRPr="005D3CD5">
        <w:rPr>
          <w:rFonts w:ascii="Times New Roman" w:eastAsiaTheme="minorHAnsi" w:hAnsi="Times New Roman" w:cs="Times New Roman"/>
          <w:i/>
          <w:szCs w:val="24"/>
          <w:lang w:val="fr-FR"/>
        </w:rPr>
        <w:t>Abdolkhani et Karimnia</w:t>
      </w:r>
      <w:r w:rsidR="00E60556" w:rsidRPr="005D3CD5">
        <w:rPr>
          <w:rFonts w:ascii="Times New Roman" w:eastAsiaTheme="minorHAnsi" w:hAnsi="Times New Roman" w:cs="Times New Roman"/>
          <w:szCs w:val="24"/>
          <w:lang w:val="fr-FR"/>
        </w:rPr>
        <w:t>, précité, § 130).</w:t>
      </w:r>
    </w:p>
    <w:p w:rsidR="00E60556" w:rsidRPr="005D3CD5" w:rsidRDefault="00D70E68" w:rsidP="005D3CD5">
      <w:pPr>
        <w:pStyle w:val="ECHRPara"/>
        <w:rPr>
          <w:rFonts w:ascii="Times New Roman" w:eastAsiaTheme="minorHAnsi" w:hAnsi="Times New Roman" w:cs="Times New Roman"/>
          <w:szCs w:val="24"/>
          <w:lang w:val="fr-FR"/>
        </w:rPr>
      </w:pPr>
      <w:r w:rsidRPr="005D3CD5">
        <w:rPr>
          <w:rFonts w:ascii="Times New Roman" w:eastAsiaTheme="minorHAnsi" w:hAnsi="Times New Roman" w:cs="Times New Roman"/>
          <w:szCs w:val="24"/>
          <w:lang w:val="fr-FR"/>
        </w:rPr>
        <w:fldChar w:fldCharType="begin"/>
      </w:r>
      <w:r w:rsidRPr="005D3CD5">
        <w:rPr>
          <w:rFonts w:ascii="Times New Roman" w:eastAsiaTheme="minorHAnsi" w:hAnsi="Times New Roman" w:cs="Times New Roman"/>
          <w:szCs w:val="24"/>
          <w:lang w:val="fr-FR"/>
        </w:rPr>
        <w:instrText xml:space="preserve"> SEQ level0 \*arabic </w:instrText>
      </w:r>
      <w:r w:rsidRPr="005D3CD5">
        <w:rPr>
          <w:rFonts w:ascii="Times New Roman" w:eastAsiaTheme="minorHAnsi" w:hAnsi="Times New Roman" w:cs="Times New Roman"/>
          <w:szCs w:val="24"/>
          <w:lang w:val="fr-FR"/>
        </w:rPr>
        <w:fldChar w:fldCharType="separate"/>
      </w:r>
      <w:r w:rsidR="005D3CD5" w:rsidRPr="005D3CD5">
        <w:rPr>
          <w:rFonts w:ascii="Times New Roman" w:eastAsiaTheme="minorHAnsi" w:hAnsi="Times New Roman" w:cs="Times New Roman"/>
          <w:noProof/>
          <w:szCs w:val="24"/>
          <w:lang w:val="fr-FR"/>
        </w:rPr>
        <w:t>70</w:t>
      </w:r>
      <w:r w:rsidRPr="005D3CD5">
        <w:rPr>
          <w:rFonts w:ascii="Times New Roman" w:eastAsiaTheme="minorHAnsi" w:hAnsi="Times New Roman" w:cs="Times New Roman"/>
          <w:szCs w:val="24"/>
          <w:lang w:val="fr-FR"/>
        </w:rPr>
        <w:fldChar w:fldCharType="end"/>
      </w:r>
      <w:r w:rsidRPr="005D3CD5">
        <w:rPr>
          <w:rFonts w:ascii="Times New Roman" w:eastAsiaTheme="minorHAnsi" w:hAnsi="Times New Roman" w:cs="Times New Roman"/>
          <w:szCs w:val="24"/>
          <w:lang w:val="fr-FR"/>
        </w:rPr>
        <w:t>.  </w:t>
      </w:r>
      <w:r w:rsidR="00E60556" w:rsidRPr="005D3CD5">
        <w:rPr>
          <w:rFonts w:ascii="Times New Roman" w:eastAsiaTheme="minorHAnsi" w:hAnsi="Times New Roman" w:cs="Times New Roman"/>
          <w:szCs w:val="24"/>
          <w:lang w:val="fr-FR"/>
        </w:rPr>
        <w:t>Sur ce dernier point, la Cour souligne que</w:t>
      </w:r>
      <w:r w:rsidR="00D90CE8"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 xml:space="preserve"> lorsqu</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il s</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agit d</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une privation de liberté, il est particulièrement important de satisfaire au principe général de la sécurité juridique. Par conséquent, il est essentiel que les conditions de la privation de liberté en vertu du droit interne soient clairement définies et que la loi elle-même soit prévisible dans son application, de façon à remplir le critère de « légalité » fixé par la Convention, qui exige que toute loi soit suffisamment précise pour permettre au citoyen – en s</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entourant au besoin de conseils éclairés – de prévoir, à un degré raisonnable dans les circonstances de la cause, les conséquences de nature à dériver d</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un acte déterminé (</w:t>
      </w:r>
      <w:r w:rsidR="00E60556" w:rsidRPr="005D3CD5">
        <w:rPr>
          <w:rFonts w:ascii="Times New Roman" w:eastAsiaTheme="minorHAnsi" w:hAnsi="Times New Roman" w:cs="Times New Roman"/>
          <w:i/>
          <w:szCs w:val="24"/>
          <w:lang w:val="fr-FR"/>
        </w:rPr>
        <w:t>Baranowski c.</w:t>
      </w:r>
      <w:r w:rsidR="00D90CE8" w:rsidRPr="005D3CD5">
        <w:rPr>
          <w:rFonts w:ascii="Times New Roman" w:eastAsiaTheme="minorHAnsi" w:hAnsi="Times New Roman" w:cs="Times New Roman"/>
          <w:i/>
          <w:szCs w:val="24"/>
          <w:lang w:val="fr-FR"/>
        </w:rPr>
        <w:t> </w:t>
      </w:r>
      <w:r w:rsidR="00E60556" w:rsidRPr="005D3CD5">
        <w:rPr>
          <w:rFonts w:ascii="Times New Roman" w:eastAsiaTheme="minorHAnsi" w:hAnsi="Times New Roman" w:cs="Times New Roman"/>
          <w:i/>
          <w:szCs w:val="24"/>
          <w:lang w:val="fr-FR"/>
        </w:rPr>
        <w:t>Pologne,</w:t>
      </w:r>
      <w:r w:rsidR="00E60556" w:rsidRPr="005D3CD5">
        <w:rPr>
          <w:rFonts w:ascii="Times New Roman" w:eastAsiaTheme="minorHAnsi" w:hAnsi="Times New Roman" w:cs="Times New Roman"/>
          <w:szCs w:val="24"/>
          <w:lang w:val="fr-FR"/>
        </w:rPr>
        <w:t xml:space="preserve"> n</w:t>
      </w:r>
      <w:r w:rsidR="00E60556" w:rsidRPr="005D3CD5">
        <w:rPr>
          <w:rFonts w:ascii="Times New Roman" w:eastAsiaTheme="minorHAnsi" w:hAnsi="Times New Roman" w:cs="Times New Roman"/>
          <w:szCs w:val="24"/>
          <w:vertAlign w:val="superscript"/>
          <w:lang w:val="fr-FR"/>
        </w:rPr>
        <w:t>o</w:t>
      </w:r>
      <w:r w:rsidR="00DB40B6" w:rsidRPr="005D3CD5">
        <w:rPr>
          <w:lang w:val="fr-FR"/>
        </w:rPr>
        <w:t>28358/95</w:t>
      </w:r>
      <w:r w:rsidR="00E60556" w:rsidRPr="005D3CD5">
        <w:rPr>
          <w:rFonts w:ascii="Times New Roman" w:eastAsiaTheme="minorHAnsi" w:hAnsi="Times New Roman" w:cs="Times New Roman"/>
          <w:szCs w:val="24"/>
          <w:lang w:val="fr-FR"/>
        </w:rPr>
        <w:t>, §§ 50-52, CEDH 2000-III</w:t>
      </w:r>
      <w:r w:rsidR="00D90CE8"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 xml:space="preserve"> </w:t>
      </w:r>
      <w:r w:rsidR="00E60556" w:rsidRPr="005D3CD5">
        <w:rPr>
          <w:rFonts w:ascii="Times New Roman" w:eastAsiaTheme="minorHAnsi" w:hAnsi="Times New Roman" w:cs="Times New Roman"/>
          <w:i/>
          <w:szCs w:val="24"/>
          <w:lang w:val="fr-FR"/>
        </w:rPr>
        <w:t>Ječius c. Lituanie</w:t>
      </w:r>
      <w:r w:rsidR="00BF6B4E" w:rsidRPr="005D3CD5">
        <w:rPr>
          <w:rFonts w:ascii="Times New Roman" w:eastAsiaTheme="minorHAnsi" w:hAnsi="Times New Roman" w:cs="Times New Roman"/>
          <w:szCs w:val="24"/>
          <w:lang w:val="fr-FR"/>
        </w:rPr>
        <w:t xml:space="preserve">, </w:t>
      </w:r>
      <w:r w:rsidR="00702CB8" w:rsidRPr="005D3CD5">
        <w:rPr>
          <w:rFonts w:ascii="Times New Roman" w:eastAsiaTheme="minorHAnsi" w:hAnsi="Times New Roman" w:cs="Times New Roman"/>
          <w:szCs w:val="24"/>
          <w:lang w:val="fr-FR"/>
        </w:rPr>
        <w:t>n</w:t>
      </w:r>
      <w:r w:rsidR="00702CB8" w:rsidRPr="005D3CD5">
        <w:rPr>
          <w:rFonts w:ascii="Times New Roman" w:eastAsiaTheme="minorHAnsi" w:hAnsi="Times New Roman" w:cs="Times New Roman"/>
          <w:szCs w:val="24"/>
          <w:vertAlign w:val="superscript"/>
          <w:lang w:val="fr-FR"/>
        </w:rPr>
        <w:t>o</w:t>
      </w:r>
      <w:r w:rsidR="00702CB8" w:rsidRPr="005D3CD5">
        <w:rPr>
          <w:rFonts w:ascii="Times New Roman" w:eastAsiaTheme="minorHAnsi" w:hAnsi="Times New Roman" w:cs="Times New Roman"/>
          <w:szCs w:val="24"/>
          <w:lang w:val="fr-FR"/>
        </w:rPr>
        <w:t> </w:t>
      </w:r>
      <w:r w:rsidR="00DB40B6" w:rsidRPr="005D3CD5">
        <w:rPr>
          <w:lang w:val="fr-FR"/>
        </w:rPr>
        <w:t>34578/97</w:t>
      </w:r>
      <w:r w:rsidR="005D3CD5" w:rsidRPr="005D3CD5">
        <w:rPr>
          <w:rFonts w:ascii="Times New Roman" w:eastAsiaTheme="minorHAnsi" w:hAnsi="Times New Roman" w:cs="Times New Roman"/>
          <w:szCs w:val="24"/>
          <w:lang w:val="fr-FR"/>
        </w:rPr>
        <w:t>, § 56, CEDH </w:t>
      </w:r>
      <w:r w:rsidR="00BF6B4E" w:rsidRPr="005D3CD5">
        <w:rPr>
          <w:rFonts w:ascii="Times New Roman" w:eastAsiaTheme="minorHAnsi" w:hAnsi="Times New Roman" w:cs="Times New Roman"/>
          <w:szCs w:val="24"/>
          <w:lang w:val="fr-FR"/>
        </w:rPr>
        <w:t>2000-IX</w:t>
      </w:r>
      <w:r w:rsidR="00D90CE8"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 xml:space="preserve"> et </w:t>
      </w:r>
      <w:r w:rsidR="00E60556" w:rsidRPr="005D3CD5">
        <w:rPr>
          <w:rFonts w:ascii="Times New Roman" w:eastAsiaTheme="minorHAnsi" w:hAnsi="Times New Roman" w:cs="Times New Roman"/>
          <w:i/>
          <w:szCs w:val="24"/>
          <w:lang w:val="fr-FR"/>
        </w:rPr>
        <w:t>Mooren c. Allemagne</w:t>
      </w:r>
      <w:r w:rsidR="00BF6B4E" w:rsidRPr="005D3CD5">
        <w:rPr>
          <w:rFonts w:ascii="Times New Roman" w:eastAsiaTheme="minorHAnsi" w:hAnsi="Times New Roman" w:cs="Times New Roman"/>
          <w:szCs w:val="24"/>
          <w:lang w:val="fr-FR"/>
        </w:rPr>
        <w:t xml:space="preserve"> [GC], </w:t>
      </w:r>
      <w:r w:rsidR="00702CB8" w:rsidRPr="005D3CD5">
        <w:rPr>
          <w:rFonts w:ascii="Times New Roman" w:eastAsiaTheme="minorHAnsi" w:hAnsi="Times New Roman" w:cs="Times New Roman"/>
          <w:szCs w:val="24"/>
          <w:lang w:val="fr-FR"/>
        </w:rPr>
        <w:t>n</w:t>
      </w:r>
      <w:r w:rsidR="00702CB8" w:rsidRPr="005D3CD5">
        <w:rPr>
          <w:rFonts w:ascii="Times New Roman" w:eastAsiaTheme="minorHAnsi" w:hAnsi="Times New Roman" w:cs="Times New Roman"/>
          <w:szCs w:val="24"/>
          <w:vertAlign w:val="superscript"/>
          <w:lang w:val="fr-FR"/>
        </w:rPr>
        <w:t>o </w:t>
      </w:r>
      <w:r w:rsidR="00DB40B6" w:rsidRPr="005D3CD5">
        <w:rPr>
          <w:lang w:val="fr-FR"/>
        </w:rPr>
        <w:t>11364/03</w:t>
      </w:r>
      <w:r w:rsidR="00E60556" w:rsidRPr="005D3CD5">
        <w:rPr>
          <w:rFonts w:ascii="Times New Roman" w:eastAsiaTheme="minorHAnsi" w:hAnsi="Times New Roman" w:cs="Times New Roman"/>
          <w:szCs w:val="24"/>
          <w:lang w:val="fr-FR"/>
        </w:rPr>
        <w:t>, § 76, 9 juillet 2009).</w:t>
      </w:r>
    </w:p>
    <w:p w:rsidR="00E60556" w:rsidRPr="005D3CD5" w:rsidRDefault="00D70E68" w:rsidP="005D3CD5">
      <w:pPr>
        <w:pStyle w:val="ECHRPara"/>
        <w:rPr>
          <w:i/>
          <w:lang w:val="fr-FR"/>
        </w:rPr>
      </w:pPr>
      <w:r w:rsidRPr="005D3CD5">
        <w:rPr>
          <w:rFonts w:ascii="Times New Roman" w:eastAsiaTheme="minorHAnsi" w:hAnsi="Times New Roman" w:cs="Times New Roman"/>
          <w:szCs w:val="24"/>
          <w:lang w:val="fr-FR"/>
        </w:rPr>
        <w:fldChar w:fldCharType="begin"/>
      </w:r>
      <w:r w:rsidRPr="005D3CD5">
        <w:rPr>
          <w:rFonts w:ascii="Times New Roman" w:eastAsiaTheme="minorHAnsi" w:hAnsi="Times New Roman" w:cs="Times New Roman"/>
          <w:szCs w:val="24"/>
          <w:lang w:val="fr-FR"/>
        </w:rPr>
        <w:instrText xml:space="preserve"> SEQ level0 \*arabic </w:instrText>
      </w:r>
      <w:r w:rsidRPr="005D3CD5">
        <w:rPr>
          <w:rFonts w:ascii="Times New Roman" w:eastAsiaTheme="minorHAnsi" w:hAnsi="Times New Roman" w:cs="Times New Roman"/>
          <w:szCs w:val="24"/>
          <w:lang w:val="fr-FR"/>
        </w:rPr>
        <w:fldChar w:fldCharType="separate"/>
      </w:r>
      <w:r w:rsidR="005D3CD5" w:rsidRPr="005D3CD5">
        <w:rPr>
          <w:rFonts w:ascii="Times New Roman" w:eastAsiaTheme="minorHAnsi" w:hAnsi="Times New Roman" w:cs="Times New Roman"/>
          <w:noProof/>
          <w:szCs w:val="24"/>
          <w:lang w:val="fr-FR"/>
        </w:rPr>
        <w:t>71</w:t>
      </w:r>
      <w:r w:rsidRPr="005D3CD5">
        <w:rPr>
          <w:rFonts w:ascii="Times New Roman" w:eastAsiaTheme="minorHAnsi" w:hAnsi="Times New Roman" w:cs="Times New Roman"/>
          <w:szCs w:val="24"/>
          <w:lang w:val="fr-FR"/>
        </w:rPr>
        <w:fldChar w:fldCharType="end"/>
      </w:r>
      <w:r w:rsidRPr="005D3CD5">
        <w:rPr>
          <w:rFonts w:ascii="Times New Roman" w:eastAsiaTheme="minorHAnsi" w:hAnsi="Times New Roman" w:cs="Times New Roman"/>
          <w:szCs w:val="24"/>
          <w:lang w:val="fr-FR"/>
        </w:rPr>
        <w:t>.  </w:t>
      </w:r>
      <w:r w:rsidR="00E60556" w:rsidRPr="005D3CD5">
        <w:rPr>
          <w:rFonts w:ascii="Times New Roman" w:eastAsiaTheme="minorHAnsi" w:hAnsi="Times New Roman" w:cs="Times New Roman"/>
          <w:szCs w:val="24"/>
          <w:lang w:val="fr-FR"/>
        </w:rPr>
        <w:t>De plus, la privation de liberté est une mesure si grave qu</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elle ne se justifie que lorsque d</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autres mesures, moins sévères, ont été considérées et jugées insuffisantes pour sauvegarder l</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intérêt personnel ou public exigeant la détention. Il ne suffit donc pas que la privation de liberté soit conforme au droit national</w:t>
      </w:r>
      <w:r w:rsidR="00D90CE8" w:rsidRPr="005D3CD5">
        <w:rPr>
          <w:rFonts w:ascii="Times New Roman" w:eastAsiaTheme="minorHAnsi" w:hAnsi="Times New Roman" w:cs="Times New Roman"/>
          <w:szCs w:val="24"/>
          <w:lang w:val="fr-FR"/>
        </w:rPr>
        <w:t> ;</w:t>
      </w:r>
      <w:r w:rsidR="00E60556" w:rsidRPr="005D3CD5">
        <w:rPr>
          <w:rFonts w:ascii="Times New Roman" w:eastAsiaTheme="minorHAnsi" w:hAnsi="Times New Roman" w:cs="Times New Roman"/>
          <w:szCs w:val="24"/>
          <w:lang w:val="fr-FR"/>
        </w:rPr>
        <w:t xml:space="preserve"> encore faut-il qu</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elle soit nécessaire dans les circonstances de l</w:t>
      </w:r>
      <w:r w:rsidR="005D3CD5" w:rsidRPr="005D3CD5">
        <w:rPr>
          <w:rFonts w:ascii="Times New Roman" w:eastAsiaTheme="minorHAnsi" w:hAnsi="Times New Roman" w:cs="Times New Roman"/>
          <w:szCs w:val="24"/>
          <w:lang w:val="fr-FR"/>
        </w:rPr>
        <w:t>’</w:t>
      </w:r>
      <w:r w:rsidR="00E60556" w:rsidRPr="005D3CD5">
        <w:rPr>
          <w:rFonts w:ascii="Times New Roman" w:eastAsiaTheme="minorHAnsi" w:hAnsi="Times New Roman" w:cs="Times New Roman"/>
          <w:szCs w:val="24"/>
          <w:lang w:val="fr-FR"/>
        </w:rPr>
        <w:t>espèce (</w:t>
      </w:r>
      <w:r w:rsidR="00E60556" w:rsidRPr="005D3CD5">
        <w:rPr>
          <w:rFonts w:ascii="Times New Roman" w:eastAsiaTheme="minorHAnsi" w:hAnsi="Times New Roman" w:cs="Times New Roman"/>
          <w:i/>
          <w:szCs w:val="24"/>
          <w:lang w:val="fr-FR"/>
        </w:rPr>
        <w:t>Witold Litwa c. Pologne,</w:t>
      </w:r>
      <w:r w:rsidR="00E60556" w:rsidRPr="005D3CD5">
        <w:rPr>
          <w:rFonts w:ascii="Times New Roman" w:eastAsiaTheme="minorHAnsi" w:hAnsi="Times New Roman" w:cs="Times New Roman"/>
          <w:szCs w:val="24"/>
          <w:lang w:val="fr-FR"/>
        </w:rPr>
        <w:t xml:space="preserve"> n</w:t>
      </w:r>
      <w:r w:rsidR="00E60556" w:rsidRPr="005D3CD5">
        <w:rPr>
          <w:rFonts w:ascii="Times New Roman" w:eastAsiaTheme="minorHAnsi" w:hAnsi="Times New Roman" w:cs="Times New Roman"/>
          <w:szCs w:val="24"/>
          <w:vertAlign w:val="superscript"/>
          <w:lang w:val="fr-FR"/>
        </w:rPr>
        <w:t>o</w:t>
      </w:r>
      <w:r w:rsidR="00DB40B6" w:rsidRPr="005D3CD5">
        <w:rPr>
          <w:rFonts w:ascii="Times New Roman" w:eastAsiaTheme="minorHAnsi" w:hAnsi="Times New Roman" w:cs="Times New Roman"/>
          <w:szCs w:val="24"/>
          <w:vertAlign w:val="superscript"/>
          <w:lang w:val="fr-FR"/>
        </w:rPr>
        <w:t xml:space="preserve"> </w:t>
      </w:r>
      <w:r w:rsidR="00DB40B6" w:rsidRPr="005D3CD5">
        <w:rPr>
          <w:rFonts w:ascii="Times New Roman" w:eastAsiaTheme="minorHAnsi" w:hAnsi="Times New Roman" w:cs="Times New Roman"/>
          <w:szCs w:val="24"/>
          <w:lang w:val="fr-FR"/>
        </w:rPr>
        <w:t>26629/95,</w:t>
      </w:r>
      <w:r w:rsidR="00E60556" w:rsidRPr="005D3CD5">
        <w:rPr>
          <w:rFonts w:ascii="Times New Roman" w:eastAsiaTheme="minorHAnsi" w:hAnsi="Times New Roman" w:cs="Times New Roman"/>
          <w:szCs w:val="24"/>
          <w:lang w:val="fr-FR"/>
        </w:rPr>
        <w:t xml:space="preserve"> § 78, CEDH 2000-III, et </w:t>
      </w:r>
      <w:r w:rsidR="00E9009F" w:rsidRPr="005D3CD5">
        <w:rPr>
          <w:i/>
          <w:lang w:val="fr-FR"/>
        </w:rPr>
        <w:t xml:space="preserve">Stanev c. Bulgarie </w:t>
      </w:r>
      <w:r w:rsidR="00E9009F" w:rsidRPr="005D3CD5">
        <w:rPr>
          <w:lang w:val="fr-FR"/>
        </w:rPr>
        <w:t>[GC], n</w:t>
      </w:r>
      <w:r w:rsidR="00E9009F" w:rsidRPr="005D3CD5">
        <w:rPr>
          <w:vertAlign w:val="superscript"/>
          <w:lang w:val="fr-FR"/>
        </w:rPr>
        <w:t>o</w:t>
      </w:r>
      <w:r w:rsidR="00E9009F" w:rsidRPr="005D3CD5">
        <w:rPr>
          <w:lang w:val="fr-FR"/>
        </w:rPr>
        <w:t xml:space="preserve"> 36760/06</w:t>
      </w:r>
      <w:r w:rsidR="00E9009F" w:rsidRPr="005D3CD5">
        <w:rPr>
          <w:snapToGrid w:val="0"/>
          <w:szCs w:val="24"/>
          <w:lang w:val="fr-FR"/>
        </w:rPr>
        <w:t xml:space="preserve">, § 143, </w:t>
      </w:r>
      <w:r w:rsidR="00E9009F" w:rsidRPr="005D3CD5">
        <w:rPr>
          <w:snapToGrid w:val="0"/>
          <w:lang w:val="fr-FR"/>
        </w:rPr>
        <w:t>CEDH 2012</w:t>
      </w:r>
      <w:r w:rsidR="00E60556" w:rsidRPr="005D3CD5">
        <w:rPr>
          <w:rFonts w:ascii="Times New Roman" w:eastAsiaTheme="minorHAnsi" w:hAnsi="Times New Roman" w:cs="Times New Roman"/>
          <w:szCs w:val="24"/>
          <w:lang w:val="fr-FR"/>
        </w:rPr>
        <w:t>).</w:t>
      </w:r>
    </w:p>
    <w:p w:rsidR="009B2B12" w:rsidRPr="005D3CD5" w:rsidRDefault="00D70E68"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72</w:t>
      </w:r>
      <w:r w:rsidRPr="005D3CD5">
        <w:rPr>
          <w:lang w:val="fr-FR"/>
        </w:rPr>
        <w:fldChar w:fldCharType="end"/>
      </w:r>
      <w:r w:rsidRPr="005D3CD5">
        <w:rPr>
          <w:lang w:val="fr-FR"/>
        </w:rPr>
        <w:t>.  </w:t>
      </w:r>
      <w:r w:rsidR="009B2B12" w:rsidRPr="005D3CD5">
        <w:rPr>
          <w:lang w:val="fr-FR"/>
        </w:rPr>
        <w:t>Pour déterminer si l</w:t>
      </w:r>
      <w:r w:rsidR="005D3CD5" w:rsidRPr="005D3CD5">
        <w:rPr>
          <w:lang w:val="fr-FR"/>
        </w:rPr>
        <w:t>’</w:t>
      </w:r>
      <w:r w:rsidR="009B2B12" w:rsidRPr="005D3CD5">
        <w:rPr>
          <w:lang w:val="fr-FR"/>
        </w:rPr>
        <w:t xml:space="preserve">article 5 § 1 de la Convention a été respecté, il est opportun de faire une distinction fondamentale entre les titres de détention manifestement invalides – par exemple ceux qui sont émis par un tribunal en dehors de sa compétence – et les titres de détention qui sont </w:t>
      </w:r>
      <w:r w:rsidR="009B2B12" w:rsidRPr="005D3CD5">
        <w:rPr>
          <w:i/>
          <w:lang w:val="fr-FR"/>
        </w:rPr>
        <w:t>prima facie</w:t>
      </w:r>
      <w:r w:rsidR="009B2B12" w:rsidRPr="005D3CD5">
        <w:rPr>
          <w:lang w:val="fr-FR"/>
        </w:rPr>
        <w:t xml:space="preserve"> valides et efficaces jusqu</w:t>
      </w:r>
      <w:r w:rsidR="005D3CD5" w:rsidRPr="005D3CD5">
        <w:rPr>
          <w:lang w:val="fr-FR"/>
        </w:rPr>
        <w:t>’</w:t>
      </w:r>
      <w:r w:rsidR="009B2B12" w:rsidRPr="005D3CD5">
        <w:rPr>
          <w:lang w:val="fr-FR"/>
        </w:rPr>
        <w:t>au moment où ils sont annulés par une autre juridiction interne (</w:t>
      </w:r>
      <w:r w:rsidR="00ED464C" w:rsidRPr="005D3CD5">
        <w:rPr>
          <w:i/>
          <w:lang w:val="fr-FR"/>
        </w:rPr>
        <w:t>Benham c. Royaume-Uni</w:t>
      </w:r>
      <w:r w:rsidR="00ED464C" w:rsidRPr="005D3CD5">
        <w:rPr>
          <w:lang w:val="fr-FR"/>
        </w:rPr>
        <w:t xml:space="preserve">, 10 juin 1996, § 43, </w:t>
      </w:r>
      <w:r w:rsidR="00ED464C" w:rsidRPr="005D3CD5">
        <w:rPr>
          <w:i/>
          <w:lang w:val="fr-FR"/>
        </w:rPr>
        <w:t>Recueil</w:t>
      </w:r>
      <w:r w:rsidR="00ED464C" w:rsidRPr="005D3CD5">
        <w:rPr>
          <w:lang w:val="fr-FR"/>
        </w:rPr>
        <w:t xml:space="preserve"> 1996</w:t>
      </w:r>
      <w:r w:rsidR="00ED464C" w:rsidRPr="005D3CD5">
        <w:rPr>
          <w:lang w:val="fr-FR"/>
        </w:rPr>
        <w:noBreakHyphen/>
        <w:t>III</w:t>
      </w:r>
      <w:r w:rsidR="00872552" w:rsidRPr="005D3CD5">
        <w:rPr>
          <w:lang w:val="fr-FR"/>
        </w:rPr>
        <w:t>,</w:t>
      </w:r>
      <w:r w:rsidR="009B2B12" w:rsidRPr="005D3CD5">
        <w:rPr>
          <w:lang w:val="fr-FR"/>
        </w:rPr>
        <w:t xml:space="preserve"> </w:t>
      </w:r>
      <w:r w:rsidR="009B2B12" w:rsidRPr="005D3CD5">
        <w:rPr>
          <w:i/>
          <w:lang w:val="fr-FR"/>
        </w:rPr>
        <w:t>Lloyd et autres c. Royaume-Uni</w:t>
      </w:r>
      <w:r w:rsidR="009B2B12" w:rsidRPr="005D3CD5">
        <w:rPr>
          <w:lang w:val="fr-FR"/>
        </w:rPr>
        <w:t>, n</w:t>
      </w:r>
      <w:r w:rsidR="009B2B12" w:rsidRPr="005D3CD5">
        <w:rPr>
          <w:vertAlign w:val="superscript"/>
          <w:lang w:val="fr-FR"/>
        </w:rPr>
        <w:t xml:space="preserve">os </w:t>
      </w:r>
      <w:r w:rsidR="00DB40B6" w:rsidRPr="005D3CD5">
        <w:rPr>
          <w:lang w:val="fr-FR"/>
        </w:rPr>
        <w:t>29798/96</w:t>
      </w:r>
      <w:r w:rsidR="009B2B12" w:rsidRPr="005D3CD5">
        <w:rPr>
          <w:lang w:val="fr-FR"/>
        </w:rPr>
        <w:t xml:space="preserve"> et suiv</w:t>
      </w:r>
      <w:r w:rsidR="0087416A" w:rsidRPr="005D3CD5">
        <w:rPr>
          <w:lang w:val="fr-FR"/>
        </w:rPr>
        <w:t>.</w:t>
      </w:r>
      <w:r w:rsidR="009B2B12" w:rsidRPr="005D3CD5">
        <w:rPr>
          <w:lang w:val="fr-FR"/>
        </w:rPr>
        <w:t>, §§</w:t>
      </w:r>
      <w:r w:rsidR="0087416A" w:rsidRPr="005D3CD5">
        <w:rPr>
          <w:lang w:val="fr-FR"/>
        </w:rPr>
        <w:t> </w:t>
      </w:r>
      <w:r w:rsidR="009B2B12" w:rsidRPr="005D3CD5">
        <w:rPr>
          <w:lang w:val="fr-FR"/>
        </w:rPr>
        <w:t>83, 108, 113 et 116, 1</w:t>
      </w:r>
      <w:r w:rsidR="009B2B12" w:rsidRPr="005D3CD5">
        <w:rPr>
          <w:vertAlign w:val="superscript"/>
          <w:lang w:val="fr-FR"/>
        </w:rPr>
        <w:t>er</w:t>
      </w:r>
      <w:r w:rsidR="009B2B12" w:rsidRPr="005D3CD5">
        <w:rPr>
          <w:lang w:val="fr-FR"/>
        </w:rPr>
        <w:t xml:space="preserve"> mars 2005</w:t>
      </w:r>
      <w:r w:rsidR="00872552" w:rsidRPr="005D3CD5">
        <w:rPr>
          <w:lang w:val="fr-FR"/>
        </w:rPr>
        <w:t xml:space="preserve">, et </w:t>
      </w:r>
      <w:r w:rsidR="009B2B12" w:rsidRPr="005D3CD5">
        <w:rPr>
          <w:i/>
          <w:lang w:val="fr-FR"/>
        </w:rPr>
        <w:t>Kh</w:t>
      </w:r>
      <w:r w:rsidR="00E823A1" w:rsidRPr="005D3CD5">
        <w:rPr>
          <w:i/>
          <w:lang w:val="fr-FR"/>
        </w:rPr>
        <w:t>o</w:t>
      </w:r>
      <w:r w:rsidR="009B2B12" w:rsidRPr="005D3CD5">
        <w:rPr>
          <w:i/>
          <w:lang w:val="fr-FR"/>
        </w:rPr>
        <w:t>udoyorov c. Russie</w:t>
      </w:r>
      <w:r w:rsidR="009B2B12" w:rsidRPr="005D3CD5">
        <w:rPr>
          <w:lang w:val="fr-FR"/>
        </w:rPr>
        <w:t>, n</w:t>
      </w:r>
      <w:r w:rsidR="009B2B12" w:rsidRPr="005D3CD5">
        <w:rPr>
          <w:vertAlign w:val="superscript"/>
          <w:lang w:val="fr-FR"/>
        </w:rPr>
        <w:t>o</w:t>
      </w:r>
      <w:r w:rsidR="00E823A1" w:rsidRPr="005D3CD5">
        <w:rPr>
          <w:lang w:val="fr-FR"/>
        </w:rPr>
        <w:t> </w:t>
      </w:r>
      <w:r w:rsidR="00DB40B6" w:rsidRPr="005D3CD5">
        <w:rPr>
          <w:lang w:val="fr-FR"/>
        </w:rPr>
        <w:t>6847/02</w:t>
      </w:r>
      <w:r w:rsidR="009B2B12" w:rsidRPr="005D3CD5">
        <w:rPr>
          <w:lang w:val="fr-FR"/>
        </w:rPr>
        <w:t>, §§ 128-129, 8 novembre 2005).</w:t>
      </w:r>
    </w:p>
    <w:p w:rsidR="00E231EB" w:rsidRPr="005D3CD5" w:rsidRDefault="0038045F"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73</w:t>
      </w:r>
      <w:r w:rsidRPr="005D3CD5">
        <w:rPr>
          <w:lang w:val="fr-FR"/>
        </w:rPr>
        <w:fldChar w:fldCharType="end"/>
      </w:r>
      <w:r w:rsidRPr="005D3CD5">
        <w:rPr>
          <w:lang w:val="fr-FR"/>
        </w:rPr>
        <w:t xml:space="preserve">.  Une décision de placement en détention doit être considérée comme étant </w:t>
      </w:r>
      <w:r w:rsidRPr="005D3CD5">
        <w:rPr>
          <w:i/>
          <w:lang w:val="fr-FR"/>
        </w:rPr>
        <w:t>ex facie</w:t>
      </w:r>
      <w:r w:rsidRPr="005D3CD5">
        <w:rPr>
          <w:lang w:val="fr-FR"/>
        </w:rPr>
        <w:t xml:space="preserve"> invalide si le vice y ayan</w:t>
      </w:r>
      <w:r w:rsidR="003D4ABF" w:rsidRPr="005D3CD5">
        <w:rPr>
          <w:lang w:val="fr-FR"/>
        </w:rPr>
        <w:t>t été décelé s</w:t>
      </w:r>
      <w:r w:rsidR="005D3CD5" w:rsidRPr="005D3CD5">
        <w:rPr>
          <w:lang w:val="fr-FR"/>
        </w:rPr>
        <w:t>’</w:t>
      </w:r>
      <w:r w:rsidR="003D4ABF" w:rsidRPr="005D3CD5">
        <w:rPr>
          <w:lang w:val="fr-FR"/>
        </w:rPr>
        <w:t>analyse en une «</w:t>
      </w:r>
      <w:r w:rsidR="00910C4E" w:rsidRPr="005D3CD5">
        <w:rPr>
          <w:lang w:val="fr-FR"/>
        </w:rPr>
        <w:t> </w:t>
      </w:r>
      <w:r w:rsidRPr="005D3CD5">
        <w:rPr>
          <w:lang w:val="fr-FR"/>
        </w:rPr>
        <w:t>irrégularité grave et manifeste</w:t>
      </w:r>
      <w:r w:rsidR="00910C4E" w:rsidRPr="005D3CD5">
        <w:rPr>
          <w:lang w:val="fr-FR"/>
        </w:rPr>
        <w:t> </w:t>
      </w:r>
      <w:r w:rsidRPr="005D3CD5">
        <w:rPr>
          <w:lang w:val="fr-FR"/>
        </w:rPr>
        <w:t>», au sens exceptionnel indiqué dans la jurisprudence de la Cour (</w:t>
      </w:r>
      <w:r w:rsidRPr="005D3CD5">
        <w:rPr>
          <w:i/>
          <w:lang w:val="fr-FR"/>
        </w:rPr>
        <w:t>Liu c. Russie</w:t>
      </w:r>
      <w:r w:rsidRPr="005D3CD5">
        <w:rPr>
          <w:lang w:val="fr-FR"/>
        </w:rPr>
        <w:t>, n</w:t>
      </w:r>
      <w:r w:rsidRPr="005D3CD5">
        <w:rPr>
          <w:vertAlign w:val="superscript"/>
          <w:lang w:val="fr-FR"/>
        </w:rPr>
        <w:t>o</w:t>
      </w:r>
      <w:r w:rsidRPr="005D3CD5">
        <w:rPr>
          <w:lang w:val="fr-FR"/>
        </w:rPr>
        <w:t xml:space="preserve"> </w:t>
      </w:r>
      <w:r w:rsidR="00910F06" w:rsidRPr="005D3CD5">
        <w:rPr>
          <w:lang w:val="fr-FR"/>
        </w:rPr>
        <w:t xml:space="preserve">42086/05, </w:t>
      </w:r>
      <w:r w:rsidRPr="005D3CD5">
        <w:rPr>
          <w:lang w:val="fr-FR"/>
        </w:rPr>
        <w:t xml:space="preserve">§ 81, 6 décembre 2007, </w:t>
      </w:r>
      <w:r w:rsidRPr="005D3CD5">
        <w:rPr>
          <w:i/>
          <w:lang w:val="fr-FR"/>
        </w:rPr>
        <w:t>Garabayev c. Russie</w:t>
      </w:r>
      <w:r w:rsidRPr="005D3CD5">
        <w:rPr>
          <w:lang w:val="fr-FR"/>
        </w:rPr>
        <w:t>, n</w:t>
      </w:r>
      <w:r w:rsidRPr="005D3CD5">
        <w:rPr>
          <w:vertAlign w:val="superscript"/>
          <w:lang w:val="fr-FR"/>
        </w:rPr>
        <w:t>o</w:t>
      </w:r>
      <w:r w:rsidRPr="005D3CD5">
        <w:rPr>
          <w:lang w:val="fr-FR"/>
        </w:rPr>
        <w:t xml:space="preserve"> </w:t>
      </w:r>
      <w:r w:rsidR="00910F06" w:rsidRPr="005D3CD5">
        <w:rPr>
          <w:lang w:val="fr-FR"/>
        </w:rPr>
        <w:t xml:space="preserve">38411/02, </w:t>
      </w:r>
      <w:r w:rsidRPr="005D3CD5">
        <w:rPr>
          <w:lang w:val="fr-FR"/>
        </w:rPr>
        <w:t xml:space="preserve">§ 89, 7 juin 2007, </w:t>
      </w:r>
      <w:r w:rsidRPr="005D3CD5">
        <w:rPr>
          <w:i/>
          <w:lang w:val="fr-FR"/>
        </w:rPr>
        <w:t>Marturana c.</w:t>
      </w:r>
      <w:r w:rsidR="00E823A1" w:rsidRPr="005D3CD5">
        <w:rPr>
          <w:i/>
          <w:lang w:val="fr-FR"/>
        </w:rPr>
        <w:t> </w:t>
      </w:r>
      <w:r w:rsidRPr="005D3CD5">
        <w:rPr>
          <w:i/>
          <w:lang w:val="fr-FR"/>
        </w:rPr>
        <w:t>Italie</w:t>
      </w:r>
      <w:r w:rsidRPr="005D3CD5">
        <w:rPr>
          <w:lang w:val="fr-FR"/>
        </w:rPr>
        <w:t>, n</w:t>
      </w:r>
      <w:r w:rsidR="005D3CD5" w:rsidRPr="005D3CD5">
        <w:rPr>
          <w:vertAlign w:val="superscript"/>
          <w:lang w:val="fr-FR"/>
        </w:rPr>
        <w:t>o </w:t>
      </w:r>
      <w:r w:rsidR="00910F06" w:rsidRPr="005D3CD5">
        <w:rPr>
          <w:lang w:val="fr-FR"/>
        </w:rPr>
        <w:t>63154/00,</w:t>
      </w:r>
      <w:r w:rsidRPr="005D3CD5">
        <w:rPr>
          <w:lang w:val="fr-FR"/>
        </w:rPr>
        <w:t xml:space="preserve"> § 79, 4 mars 2008, et </w:t>
      </w:r>
      <w:r w:rsidR="00405C60" w:rsidRPr="005D3CD5">
        <w:rPr>
          <w:i/>
          <w:lang w:val="fr-FR"/>
        </w:rPr>
        <w:t>Mooren</w:t>
      </w:r>
      <w:r w:rsidR="00405C60" w:rsidRPr="005D3CD5">
        <w:rPr>
          <w:lang w:val="fr-FR"/>
        </w:rPr>
        <w:t xml:space="preserve">, </w:t>
      </w:r>
      <w:r w:rsidR="00B66179" w:rsidRPr="005D3CD5">
        <w:rPr>
          <w:lang w:val="fr-FR"/>
        </w:rPr>
        <w:t>précité</w:t>
      </w:r>
      <w:r w:rsidR="00405C60" w:rsidRPr="005D3CD5">
        <w:rPr>
          <w:snapToGrid w:val="0"/>
          <w:lang w:val="fr-FR"/>
        </w:rPr>
        <w:t>, § 75</w:t>
      </w:r>
      <w:r w:rsidRPr="005D3CD5">
        <w:rPr>
          <w:lang w:val="fr-FR"/>
        </w:rPr>
        <w:t>).</w:t>
      </w:r>
      <w:r w:rsidR="0006720F" w:rsidRPr="005D3CD5">
        <w:rPr>
          <w:lang w:val="fr-FR"/>
        </w:rPr>
        <w:t xml:space="preserve"> </w:t>
      </w:r>
      <w:r w:rsidR="00E231EB" w:rsidRPr="005D3CD5">
        <w:rPr>
          <w:lang w:val="fr-FR"/>
        </w:rPr>
        <w:t xml:space="preserve">La Cour a </w:t>
      </w:r>
      <w:r w:rsidR="00704458" w:rsidRPr="005D3CD5">
        <w:rPr>
          <w:lang w:val="fr-FR"/>
        </w:rPr>
        <w:t xml:space="preserve">ainsi </w:t>
      </w:r>
      <w:r w:rsidR="00E231EB" w:rsidRPr="005D3CD5">
        <w:rPr>
          <w:lang w:val="fr-FR"/>
        </w:rPr>
        <w:t xml:space="preserve">jugé manifestement invalides des ordonnances de détention prises </w:t>
      </w:r>
      <w:r w:rsidR="00E231EB" w:rsidRPr="005D3CD5">
        <w:rPr>
          <w:lang w:val="fr-FR"/>
        </w:rPr>
        <w:lastRenderedPageBreak/>
        <w:t xml:space="preserve">dans des affaires </w:t>
      </w:r>
      <w:r w:rsidR="002D6E09" w:rsidRPr="005D3CD5">
        <w:rPr>
          <w:lang w:val="fr-FR"/>
        </w:rPr>
        <w:t>dans lesquelles</w:t>
      </w:r>
      <w:r w:rsidR="00E231EB" w:rsidRPr="005D3CD5">
        <w:rPr>
          <w:lang w:val="fr-FR"/>
        </w:rPr>
        <w:t xml:space="preserve"> la partie concernée n</w:t>
      </w:r>
      <w:r w:rsidR="005D3CD5" w:rsidRPr="005D3CD5">
        <w:rPr>
          <w:lang w:val="fr-FR"/>
        </w:rPr>
        <w:t>’</w:t>
      </w:r>
      <w:r w:rsidR="00E231EB" w:rsidRPr="005D3CD5">
        <w:rPr>
          <w:lang w:val="fr-FR"/>
        </w:rPr>
        <w:t>avait pas été dûment informée de la tenue d</w:t>
      </w:r>
      <w:r w:rsidR="005D3CD5" w:rsidRPr="005D3CD5">
        <w:rPr>
          <w:lang w:val="fr-FR"/>
        </w:rPr>
        <w:t>’</w:t>
      </w:r>
      <w:r w:rsidR="00E231EB" w:rsidRPr="005D3CD5">
        <w:rPr>
          <w:lang w:val="fr-FR"/>
        </w:rPr>
        <w:t>une audience (</w:t>
      </w:r>
      <w:r w:rsidR="00E231EB" w:rsidRPr="005D3CD5">
        <w:rPr>
          <w:i/>
          <w:iCs/>
          <w:lang w:val="fr-FR"/>
        </w:rPr>
        <w:t>Khoudo</w:t>
      </w:r>
      <w:r w:rsidR="00E823A1" w:rsidRPr="005D3CD5">
        <w:rPr>
          <w:i/>
          <w:iCs/>
          <w:lang w:val="fr-FR"/>
        </w:rPr>
        <w:t>y</w:t>
      </w:r>
      <w:r w:rsidR="00E231EB" w:rsidRPr="005D3CD5">
        <w:rPr>
          <w:i/>
          <w:iCs/>
          <w:lang w:val="fr-FR"/>
        </w:rPr>
        <w:t>orov</w:t>
      </w:r>
      <w:r w:rsidR="00E231EB" w:rsidRPr="005D3CD5">
        <w:rPr>
          <w:lang w:val="fr-FR"/>
        </w:rPr>
        <w:t>,</w:t>
      </w:r>
      <w:r w:rsidR="00E823A1" w:rsidRPr="005D3CD5">
        <w:rPr>
          <w:lang w:val="fr-FR"/>
        </w:rPr>
        <w:t xml:space="preserve"> précité,</w:t>
      </w:r>
      <w:r w:rsidR="00E231EB" w:rsidRPr="005D3CD5">
        <w:rPr>
          <w:lang w:val="fr-FR"/>
        </w:rPr>
        <w:t xml:space="preserve"> § 129), </w:t>
      </w:r>
      <w:r w:rsidR="002D6E09" w:rsidRPr="005D3CD5">
        <w:rPr>
          <w:lang w:val="fr-FR"/>
        </w:rPr>
        <w:t>ou dans lesquelles</w:t>
      </w:r>
      <w:r w:rsidR="00E231EB" w:rsidRPr="005D3CD5">
        <w:rPr>
          <w:lang w:val="fr-FR"/>
        </w:rPr>
        <w:t xml:space="preserve"> les juridictions internes n</w:t>
      </w:r>
      <w:r w:rsidR="005D3CD5" w:rsidRPr="005D3CD5">
        <w:rPr>
          <w:lang w:val="fr-FR"/>
        </w:rPr>
        <w:t>’</w:t>
      </w:r>
      <w:r w:rsidR="00E231EB" w:rsidRPr="005D3CD5">
        <w:rPr>
          <w:lang w:val="fr-FR"/>
        </w:rPr>
        <w:t>avaient pas procédé à l</w:t>
      </w:r>
      <w:r w:rsidR="005D3CD5" w:rsidRPr="005D3CD5">
        <w:rPr>
          <w:lang w:val="fr-FR"/>
        </w:rPr>
        <w:t>’</w:t>
      </w:r>
      <w:r w:rsidR="00E231EB" w:rsidRPr="005D3CD5">
        <w:rPr>
          <w:lang w:val="fr-FR"/>
        </w:rPr>
        <w:t xml:space="preserve">enquête sur les </w:t>
      </w:r>
      <w:r w:rsidR="00530BCF" w:rsidRPr="005D3CD5">
        <w:rPr>
          <w:lang w:val="fr-FR"/>
        </w:rPr>
        <w:t>revenus</w:t>
      </w:r>
      <w:r w:rsidR="00E231EB" w:rsidRPr="005D3CD5">
        <w:rPr>
          <w:lang w:val="fr-FR"/>
        </w:rPr>
        <w:t xml:space="preserve"> exigée par la loi nationale (</w:t>
      </w:r>
      <w:r w:rsidR="00E231EB" w:rsidRPr="005D3CD5">
        <w:rPr>
          <w:i/>
          <w:iCs/>
          <w:lang w:val="fr-FR"/>
        </w:rPr>
        <w:t>Lloyd et autres</w:t>
      </w:r>
      <w:r w:rsidR="007E5A9B" w:rsidRPr="005D3CD5">
        <w:rPr>
          <w:lang w:val="fr-FR"/>
        </w:rPr>
        <w:t xml:space="preserve">, </w:t>
      </w:r>
      <w:r w:rsidR="002D6E09" w:rsidRPr="005D3CD5">
        <w:rPr>
          <w:lang w:val="fr-FR"/>
        </w:rPr>
        <w:t xml:space="preserve">précité, </w:t>
      </w:r>
      <w:r w:rsidR="007E5A9B" w:rsidRPr="005D3CD5">
        <w:rPr>
          <w:lang w:val="fr-FR"/>
        </w:rPr>
        <w:t>§§ 108 et 116)</w:t>
      </w:r>
      <w:r w:rsidR="00E231EB" w:rsidRPr="005D3CD5">
        <w:rPr>
          <w:lang w:val="fr-FR"/>
        </w:rPr>
        <w:t>. En revanche, la Cour a jugé régulière une détention ordonnée dans une affaire où il n</w:t>
      </w:r>
      <w:r w:rsidR="005D3CD5" w:rsidRPr="005D3CD5">
        <w:rPr>
          <w:lang w:val="fr-FR"/>
        </w:rPr>
        <w:t>’</w:t>
      </w:r>
      <w:r w:rsidR="00E231EB" w:rsidRPr="005D3CD5">
        <w:rPr>
          <w:lang w:val="fr-FR"/>
        </w:rPr>
        <w:t>avait pas été établi que les actes des juri</w:t>
      </w:r>
      <w:r w:rsidR="0006720F" w:rsidRPr="005D3CD5">
        <w:rPr>
          <w:lang w:val="fr-FR"/>
        </w:rPr>
        <w:t>dictions internes avaient été «</w:t>
      </w:r>
      <w:r w:rsidR="00E231EB" w:rsidRPr="005D3CD5">
        <w:rPr>
          <w:lang w:val="fr-FR"/>
        </w:rPr>
        <w:t>grossièreme</w:t>
      </w:r>
      <w:r w:rsidR="0006720F" w:rsidRPr="005D3CD5">
        <w:rPr>
          <w:lang w:val="fr-FR"/>
        </w:rPr>
        <w:t>nt et manifestement irréguliers</w:t>
      </w:r>
      <w:r w:rsidR="00E231EB" w:rsidRPr="005D3CD5">
        <w:rPr>
          <w:lang w:val="fr-FR"/>
        </w:rPr>
        <w:t>» (</w:t>
      </w:r>
      <w:r w:rsidR="002D6E09" w:rsidRPr="005D3CD5">
        <w:rPr>
          <w:i/>
          <w:iCs/>
          <w:lang w:val="fr-FR"/>
        </w:rPr>
        <w:t>idem,</w:t>
      </w:r>
      <w:r w:rsidR="00E231EB" w:rsidRPr="005D3CD5">
        <w:rPr>
          <w:i/>
          <w:iCs/>
          <w:lang w:val="fr-FR"/>
        </w:rPr>
        <w:t xml:space="preserve"> </w:t>
      </w:r>
      <w:r w:rsidR="00E231EB" w:rsidRPr="005D3CD5">
        <w:rPr>
          <w:lang w:val="fr-FR"/>
        </w:rPr>
        <w:t>§ 114</w:t>
      </w:r>
      <w:r w:rsidR="004E1B39" w:rsidRPr="005D3CD5">
        <w:rPr>
          <w:lang w:val="fr-FR"/>
        </w:rPr>
        <w:t>)</w:t>
      </w:r>
      <w:r w:rsidR="0006720F" w:rsidRPr="005D3CD5">
        <w:rPr>
          <w:lang w:val="fr-FR"/>
        </w:rPr>
        <w:t>.</w:t>
      </w:r>
    </w:p>
    <w:p w:rsidR="00BB4AFF" w:rsidRPr="005D3CD5" w:rsidRDefault="00BB4AFF" w:rsidP="005D3CD5">
      <w:pPr>
        <w:pStyle w:val="ECHRHeading4"/>
        <w:rPr>
          <w:lang w:val="fr-FR"/>
        </w:rPr>
      </w:pPr>
      <w:r w:rsidRPr="005D3CD5">
        <w:rPr>
          <w:lang w:val="fr-FR"/>
        </w:rPr>
        <w:t>b)</w:t>
      </w:r>
      <w:r w:rsidR="00DE6131" w:rsidRPr="005D3CD5">
        <w:rPr>
          <w:lang w:val="fr-FR"/>
        </w:rPr>
        <w:t>  </w:t>
      </w:r>
      <w:r w:rsidRPr="005D3CD5">
        <w:rPr>
          <w:lang w:val="fr-FR"/>
        </w:rPr>
        <w:t xml:space="preserve">Application de ces principes </w:t>
      </w:r>
      <w:r w:rsidR="002D6E09" w:rsidRPr="005D3CD5">
        <w:rPr>
          <w:lang w:val="fr-FR"/>
        </w:rPr>
        <w:t xml:space="preserve">à la présente </w:t>
      </w:r>
      <w:r w:rsidRPr="005D3CD5">
        <w:rPr>
          <w:lang w:val="fr-FR"/>
        </w:rPr>
        <w:t>espèce</w:t>
      </w:r>
    </w:p>
    <w:p w:rsidR="009F210B" w:rsidRPr="005D3CD5" w:rsidRDefault="00E618DB" w:rsidP="005D3CD5">
      <w:pPr>
        <w:pStyle w:val="ECHRPara"/>
        <w:rPr>
          <w:rFonts w:ascii="Times New Roman" w:eastAsia="Times New Roman" w:hAnsi="Times New Roman" w:cs="Times New Roman"/>
          <w:szCs w:val="24"/>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74</w:t>
      </w:r>
      <w:r w:rsidRPr="005D3CD5">
        <w:rPr>
          <w:lang w:val="fr-FR"/>
        </w:rPr>
        <w:fldChar w:fldCharType="end"/>
      </w:r>
      <w:r w:rsidR="00405C60" w:rsidRPr="005D3CD5">
        <w:rPr>
          <w:lang w:val="fr-FR"/>
        </w:rPr>
        <w:t>.  </w:t>
      </w:r>
      <w:r w:rsidR="002D6E09" w:rsidRPr="005D3CD5">
        <w:rPr>
          <w:lang w:val="fr-FR"/>
        </w:rPr>
        <w:t>En l</w:t>
      </w:r>
      <w:r w:rsidR="005D3CD5" w:rsidRPr="005D3CD5">
        <w:rPr>
          <w:lang w:val="fr-FR"/>
        </w:rPr>
        <w:t>’</w:t>
      </w:r>
      <w:r w:rsidR="002D6E09" w:rsidRPr="005D3CD5">
        <w:rPr>
          <w:lang w:val="fr-FR"/>
        </w:rPr>
        <w:t>espèce, l</w:t>
      </w:r>
      <w:r w:rsidR="007A674E" w:rsidRPr="005D3CD5">
        <w:rPr>
          <w:rFonts w:ascii="Times New Roman" w:eastAsia="Times New Roman" w:hAnsi="Times New Roman" w:cs="Times New Roman"/>
          <w:szCs w:val="24"/>
          <w:lang w:val="fr-FR"/>
        </w:rPr>
        <w:t xml:space="preserve">a Cour </w:t>
      </w:r>
      <w:r w:rsidR="006802DC" w:rsidRPr="005D3CD5">
        <w:rPr>
          <w:rFonts w:ascii="Times New Roman" w:eastAsia="Times New Roman" w:hAnsi="Times New Roman" w:cs="Times New Roman"/>
          <w:szCs w:val="24"/>
          <w:lang w:val="fr-FR"/>
        </w:rPr>
        <w:t>prend tout</w:t>
      </w:r>
      <w:r w:rsidR="007A674E" w:rsidRPr="005D3CD5">
        <w:rPr>
          <w:rFonts w:ascii="Times New Roman" w:eastAsia="Times New Roman" w:hAnsi="Times New Roman" w:cs="Times New Roman"/>
          <w:szCs w:val="24"/>
          <w:lang w:val="fr-FR"/>
        </w:rPr>
        <w:t xml:space="preserve"> d</w:t>
      </w:r>
      <w:r w:rsidR="005D3CD5" w:rsidRPr="005D3CD5">
        <w:rPr>
          <w:rFonts w:ascii="Times New Roman" w:eastAsia="Times New Roman" w:hAnsi="Times New Roman" w:cs="Times New Roman"/>
          <w:szCs w:val="24"/>
          <w:lang w:val="fr-FR"/>
        </w:rPr>
        <w:t>’</w:t>
      </w:r>
      <w:r w:rsidR="007A674E" w:rsidRPr="005D3CD5">
        <w:rPr>
          <w:rFonts w:ascii="Times New Roman" w:eastAsia="Times New Roman" w:hAnsi="Times New Roman" w:cs="Times New Roman"/>
          <w:szCs w:val="24"/>
          <w:lang w:val="fr-FR"/>
        </w:rPr>
        <w:t xml:space="preserve">abord </w:t>
      </w:r>
      <w:r w:rsidR="006802DC" w:rsidRPr="005D3CD5">
        <w:rPr>
          <w:rFonts w:ascii="Times New Roman" w:eastAsia="Times New Roman" w:hAnsi="Times New Roman" w:cs="Times New Roman"/>
          <w:szCs w:val="24"/>
          <w:lang w:val="fr-FR"/>
        </w:rPr>
        <w:t>note des éléments suivants. L</w:t>
      </w:r>
      <w:r w:rsidR="00E231EB" w:rsidRPr="005D3CD5">
        <w:rPr>
          <w:rFonts w:ascii="Times New Roman" w:eastAsia="Times New Roman" w:hAnsi="Times New Roman" w:cs="Times New Roman"/>
          <w:szCs w:val="24"/>
          <w:lang w:val="fr-FR"/>
        </w:rPr>
        <w:t>e 20 novembre 2008</w:t>
      </w:r>
      <w:r w:rsidR="006802DC" w:rsidRPr="005D3CD5">
        <w:rPr>
          <w:rFonts w:ascii="Times New Roman" w:eastAsia="Times New Roman" w:hAnsi="Times New Roman" w:cs="Times New Roman"/>
          <w:szCs w:val="24"/>
          <w:lang w:val="fr-FR"/>
        </w:rPr>
        <w:t>,</w:t>
      </w:r>
      <w:r w:rsidR="00E231EB" w:rsidRPr="005D3CD5">
        <w:rPr>
          <w:rFonts w:ascii="Times New Roman" w:eastAsia="Times New Roman" w:hAnsi="Times New Roman" w:cs="Times New Roman"/>
          <w:szCs w:val="24"/>
          <w:lang w:val="fr-FR"/>
        </w:rPr>
        <w:t xml:space="preserve"> </w:t>
      </w:r>
      <w:r w:rsidR="007A674E" w:rsidRPr="005D3CD5">
        <w:rPr>
          <w:rFonts w:ascii="Times New Roman" w:eastAsia="Times New Roman" w:hAnsi="Times New Roman" w:cs="Times New Roman"/>
          <w:szCs w:val="24"/>
          <w:lang w:val="fr-FR"/>
        </w:rPr>
        <w:t xml:space="preserve">les requérants ont été placés au centre de rétention pour une durée de </w:t>
      </w:r>
      <w:r w:rsidR="002D6E09" w:rsidRPr="005D3CD5">
        <w:rPr>
          <w:rFonts w:ascii="Times New Roman" w:eastAsia="Times New Roman" w:hAnsi="Times New Roman" w:cs="Times New Roman"/>
          <w:szCs w:val="24"/>
          <w:lang w:val="fr-FR"/>
        </w:rPr>
        <w:t xml:space="preserve">trente </w:t>
      </w:r>
      <w:r w:rsidR="007A674E" w:rsidRPr="005D3CD5">
        <w:rPr>
          <w:rFonts w:ascii="Times New Roman" w:eastAsia="Times New Roman" w:hAnsi="Times New Roman" w:cs="Times New Roman"/>
          <w:szCs w:val="24"/>
          <w:lang w:val="fr-FR"/>
        </w:rPr>
        <w:t xml:space="preserve">jours et leur mise en détention a été validée par le juge compétent. </w:t>
      </w:r>
      <w:r w:rsidR="004E1B39" w:rsidRPr="005D3CD5">
        <w:rPr>
          <w:rFonts w:ascii="Times New Roman" w:eastAsia="Times New Roman" w:hAnsi="Times New Roman" w:cs="Times New Roman"/>
          <w:szCs w:val="24"/>
          <w:lang w:val="fr-FR"/>
        </w:rPr>
        <w:t>Le 11 </w:t>
      </w:r>
      <w:r w:rsidR="007A674E" w:rsidRPr="005D3CD5">
        <w:rPr>
          <w:rFonts w:ascii="Times New Roman" w:eastAsia="Times New Roman" w:hAnsi="Times New Roman" w:cs="Times New Roman"/>
          <w:szCs w:val="24"/>
          <w:lang w:val="fr-FR"/>
        </w:rPr>
        <w:t xml:space="preserve">décembre 2008, le chef de la police a demandé au juge de paix de Rome de </w:t>
      </w:r>
      <w:r w:rsidR="007B2042" w:rsidRPr="005D3CD5">
        <w:rPr>
          <w:rFonts w:ascii="Times New Roman" w:eastAsia="Times New Roman" w:hAnsi="Times New Roman" w:cs="Times New Roman"/>
          <w:szCs w:val="24"/>
          <w:lang w:val="fr-FR"/>
        </w:rPr>
        <w:t xml:space="preserve">prolonger </w:t>
      </w:r>
      <w:r w:rsidR="007A674E" w:rsidRPr="005D3CD5">
        <w:rPr>
          <w:rFonts w:ascii="Times New Roman" w:eastAsia="Times New Roman" w:hAnsi="Times New Roman" w:cs="Times New Roman"/>
          <w:szCs w:val="24"/>
          <w:lang w:val="fr-FR"/>
        </w:rPr>
        <w:t xml:space="preserve">le placement des requérants de trente jours. Le 17 décembre 2008, le juge de paix </w:t>
      </w:r>
      <w:r w:rsidR="006802DC" w:rsidRPr="005D3CD5">
        <w:rPr>
          <w:rFonts w:ascii="Times New Roman" w:eastAsia="Times New Roman" w:hAnsi="Times New Roman" w:cs="Times New Roman"/>
          <w:szCs w:val="24"/>
          <w:lang w:val="fr-FR"/>
        </w:rPr>
        <w:t xml:space="preserve">a </w:t>
      </w:r>
      <w:r w:rsidR="007A674E" w:rsidRPr="005D3CD5">
        <w:rPr>
          <w:rFonts w:ascii="Times New Roman" w:eastAsia="Times New Roman" w:hAnsi="Times New Roman" w:cs="Times New Roman"/>
          <w:szCs w:val="24"/>
          <w:lang w:val="fr-FR"/>
        </w:rPr>
        <w:t>prorog</w:t>
      </w:r>
      <w:r w:rsidR="006802DC" w:rsidRPr="005D3CD5">
        <w:rPr>
          <w:rFonts w:ascii="Times New Roman" w:eastAsia="Times New Roman" w:hAnsi="Times New Roman" w:cs="Times New Roman"/>
          <w:szCs w:val="24"/>
          <w:lang w:val="fr-FR"/>
        </w:rPr>
        <w:t>é</w:t>
      </w:r>
      <w:r w:rsidR="007A674E" w:rsidRPr="005D3CD5">
        <w:rPr>
          <w:rFonts w:ascii="Times New Roman" w:eastAsia="Times New Roman" w:hAnsi="Times New Roman" w:cs="Times New Roman"/>
          <w:szCs w:val="24"/>
          <w:lang w:val="fr-FR"/>
        </w:rPr>
        <w:t xml:space="preserve"> ledit placement jusqu</w:t>
      </w:r>
      <w:r w:rsidR="005D3CD5" w:rsidRPr="005D3CD5">
        <w:rPr>
          <w:rFonts w:ascii="Times New Roman" w:eastAsia="Times New Roman" w:hAnsi="Times New Roman" w:cs="Times New Roman"/>
          <w:szCs w:val="24"/>
          <w:lang w:val="fr-FR"/>
        </w:rPr>
        <w:t>’</w:t>
      </w:r>
      <w:r w:rsidR="007A674E" w:rsidRPr="005D3CD5">
        <w:rPr>
          <w:rFonts w:ascii="Times New Roman" w:eastAsia="Times New Roman" w:hAnsi="Times New Roman" w:cs="Times New Roman"/>
          <w:szCs w:val="24"/>
          <w:lang w:val="fr-FR"/>
        </w:rPr>
        <w:t xml:space="preserve">au 23 janvier 2009 </w:t>
      </w:r>
      <w:r w:rsidR="006802DC" w:rsidRPr="005D3CD5">
        <w:rPr>
          <w:rFonts w:ascii="Times New Roman" w:eastAsia="Times New Roman" w:hAnsi="Times New Roman" w:cs="Times New Roman"/>
          <w:szCs w:val="24"/>
          <w:lang w:val="fr-FR"/>
        </w:rPr>
        <w:t>au motif que</w:t>
      </w:r>
      <w:r w:rsidR="007A674E" w:rsidRPr="005D3CD5">
        <w:rPr>
          <w:rFonts w:ascii="Times New Roman" w:eastAsia="Times New Roman" w:hAnsi="Times New Roman" w:cs="Times New Roman"/>
          <w:szCs w:val="24"/>
          <w:lang w:val="fr-FR"/>
        </w:rPr>
        <w:t xml:space="preserve"> la procédure d</w:t>
      </w:r>
      <w:r w:rsidR="005D3CD5" w:rsidRPr="005D3CD5">
        <w:rPr>
          <w:rFonts w:ascii="Times New Roman" w:eastAsia="Times New Roman" w:hAnsi="Times New Roman" w:cs="Times New Roman"/>
          <w:szCs w:val="24"/>
          <w:lang w:val="fr-FR"/>
        </w:rPr>
        <w:t>’</w:t>
      </w:r>
      <w:r w:rsidR="007A674E" w:rsidRPr="005D3CD5">
        <w:rPr>
          <w:rFonts w:ascii="Times New Roman" w:eastAsia="Times New Roman" w:hAnsi="Times New Roman" w:cs="Times New Roman"/>
          <w:szCs w:val="24"/>
          <w:lang w:val="fr-FR"/>
        </w:rPr>
        <w:t>identification des requérants n</w:t>
      </w:r>
      <w:r w:rsidR="005D3CD5" w:rsidRPr="005D3CD5">
        <w:rPr>
          <w:rFonts w:ascii="Times New Roman" w:eastAsia="Times New Roman" w:hAnsi="Times New Roman" w:cs="Times New Roman"/>
          <w:szCs w:val="24"/>
          <w:lang w:val="fr-FR"/>
        </w:rPr>
        <w:t>’</w:t>
      </w:r>
      <w:r w:rsidR="007A674E" w:rsidRPr="005D3CD5">
        <w:rPr>
          <w:rFonts w:ascii="Times New Roman" w:eastAsia="Times New Roman" w:hAnsi="Times New Roman" w:cs="Times New Roman"/>
          <w:szCs w:val="24"/>
          <w:lang w:val="fr-FR"/>
        </w:rPr>
        <w:t xml:space="preserve">avait pas été </w:t>
      </w:r>
      <w:r w:rsidR="00704458" w:rsidRPr="005D3CD5">
        <w:rPr>
          <w:rFonts w:ascii="Times New Roman" w:eastAsia="Times New Roman" w:hAnsi="Times New Roman" w:cs="Times New Roman"/>
          <w:szCs w:val="24"/>
          <w:lang w:val="fr-FR"/>
        </w:rPr>
        <w:t>achevée</w:t>
      </w:r>
      <w:r w:rsidR="006802DC" w:rsidRPr="005D3CD5">
        <w:rPr>
          <w:rFonts w:ascii="Times New Roman" w:eastAsia="Times New Roman" w:hAnsi="Times New Roman" w:cs="Times New Roman"/>
          <w:szCs w:val="24"/>
          <w:lang w:val="fr-FR"/>
        </w:rPr>
        <w:t>, et ce sans</w:t>
      </w:r>
      <w:r w:rsidR="00670445" w:rsidRPr="005D3CD5">
        <w:rPr>
          <w:rFonts w:ascii="Times New Roman" w:eastAsia="Times New Roman" w:hAnsi="Times New Roman" w:cs="Times New Roman"/>
          <w:szCs w:val="24"/>
          <w:lang w:val="fr-FR"/>
        </w:rPr>
        <w:t xml:space="preserve"> informer ni les </w:t>
      </w:r>
      <w:r w:rsidR="00704458" w:rsidRPr="005D3CD5">
        <w:rPr>
          <w:rFonts w:ascii="Times New Roman" w:eastAsia="Times New Roman" w:hAnsi="Times New Roman" w:cs="Times New Roman"/>
          <w:szCs w:val="24"/>
          <w:lang w:val="fr-FR"/>
        </w:rPr>
        <w:t xml:space="preserve">intéressés </w:t>
      </w:r>
      <w:r w:rsidR="00E231EB" w:rsidRPr="005D3CD5">
        <w:rPr>
          <w:rFonts w:ascii="Times New Roman" w:eastAsia="Times New Roman" w:hAnsi="Times New Roman" w:cs="Times New Roman"/>
          <w:szCs w:val="24"/>
          <w:lang w:val="fr-FR"/>
        </w:rPr>
        <w:t>ni leur avocat</w:t>
      </w:r>
      <w:r w:rsidR="006802DC" w:rsidRPr="005D3CD5">
        <w:rPr>
          <w:rFonts w:ascii="Times New Roman" w:eastAsia="Times New Roman" w:hAnsi="Times New Roman" w:cs="Times New Roman"/>
          <w:szCs w:val="24"/>
          <w:lang w:val="fr-FR"/>
        </w:rPr>
        <w:t>,</w:t>
      </w:r>
      <w:r w:rsidR="00E231EB" w:rsidRPr="005D3CD5">
        <w:rPr>
          <w:rFonts w:ascii="Times New Roman" w:eastAsia="Times New Roman" w:hAnsi="Times New Roman" w:cs="Times New Roman"/>
          <w:szCs w:val="24"/>
          <w:lang w:val="fr-FR"/>
        </w:rPr>
        <w:t xml:space="preserve"> sans tenir d</w:t>
      </w:r>
      <w:r w:rsidR="005D3CD5" w:rsidRPr="005D3CD5">
        <w:rPr>
          <w:rFonts w:ascii="Times New Roman" w:eastAsia="Times New Roman" w:hAnsi="Times New Roman" w:cs="Times New Roman"/>
          <w:szCs w:val="24"/>
          <w:lang w:val="fr-FR"/>
        </w:rPr>
        <w:t>’</w:t>
      </w:r>
      <w:r w:rsidR="004E1B39" w:rsidRPr="005D3CD5">
        <w:rPr>
          <w:rFonts w:ascii="Times New Roman" w:eastAsia="Times New Roman" w:hAnsi="Times New Roman" w:cs="Times New Roman"/>
          <w:szCs w:val="24"/>
          <w:lang w:val="fr-FR"/>
        </w:rPr>
        <w:t xml:space="preserve">audience </w:t>
      </w:r>
      <w:r w:rsidR="006802DC" w:rsidRPr="005D3CD5">
        <w:rPr>
          <w:rFonts w:ascii="Times New Roman" w:eastAsia="Times New Roman" w:hAnsi="Times New Roman" w:cs="Times New Roman"/>
          <w:szCs w:val="24"/>
          <w:lang w:val="fr-FR"/>
        </w:rPr>
        <w:t xml:space="preserve">et </w:t>
      </w:r>
      <w:r w:rsidR="004E1B39" w:rsidRPr="005D3CD5">
        <w:rPr>
          <w:rFonts w:ascii="Times New Roman" w:eastAsia="Times New Roman" w:hAnsi="Times New Roman" w:cs="Times New Roman"/>
          <w:szCs w:val="24"/>
          <w:lang w:val="fr-FR"/>
        </w:rPr>
        <w:t xml:space="preserve">sans respecter les principes déjà fixés par la Cour </w:t>
      </w:r>
      <w:r w:rsidR="006802DC" w:rsidRPr="005D3CD5">
        <w:rPr>
          <w:rFonts w:ascii="Times New Roman" w:eastAsia="Times New Roman" w:hAnsi="Times New Roman" w:cs="Times New Roman"/>
          <w:szCs w:val="24"/>
          <w:lang w:val="fr-FR"/>
        </w:rPr>
        <w:t>c</w:t>
      </w:r>
      <w:r w:rsidR="004E1B39" w:rsidRPr="005D3CD5">
        <w:rPr>
          <w:rFonts w:ascii="Times New Roman" w:eastAsia="Times New Roman" w:hAnsi="Times New Roman" w:cs="Times New Roman"/>
          <w:szCs w:val="24"/>
          <w:lang w:val="fr-FR"/>
        </w:rPr>
        <w:t xml:space="preserve">onstitutionnelle et la </w:t>
      </w:r>
      <w:r w:rsidR="0039255B" w:rsidRPr="005D3CD5">
        <w:rPr>
          <w:rFonts w:ascii="Times New Roman" w:eastAsia="Times New Roman" w:hAnsi="Times New Roman" w:cs="Times New Roman"/>
          <w:szCs w:val="24"/>
          <w:lang w:val="fr-FR"/>
        </w:rPr>
        <w:t>C</w:t>
      </w:r>
      <w:r w:rsidR="004E1B39" w:rsidRPr="005D3CD5">
        <w:rPr>
          <w:rFonts w:ascii="Times New Roman" w:eastAsia="Times New Roman" w:hAnsi="Times New Roman" w:cs="Times New Roman"/>
          <w:szCs w:val="24"/>
          <w:lang w:val="fr-FR"/>
        </w:rPr>
        <w:t>our de cassation en 2002 et 2004.</w:t>
      </w:r>
    </w:p>
    <w:p w:rsidR="009F210B" w:rsidRPr="005D3CD5" w:rsidRDefault="007B2042" w:rsidP="005D3CD5">
      <w:pPr>
        <w:pStyle w:val="ECHRPara"/>
        <w:rPr>
          <w:lang w:val="fr-FR"/>
        </w:rPr>
      </w:pPr>
      <w:r w:rsidRPr="005D3CD5">
        <w:rPr>
          <w:rFonts w:ascii="Times New Roman" w:eastAsia="Times New Roman" w:hAnsi="Times New Roman" w:cs="Times New Roman"/>
          <w:szCs w:val="24"/>
          <w:lang w:val="fr-FR"/>
        </w:rPr>
        <w:fldChar w:fldCharType="begin"/>
      </w:r>
      <w:r w:rsidRPr="005D3CD5">
        <w:rPr>
          <w:rFonts w:ascii="Times New Roman" w:eastAsia="Times New Roman" w:hAnsi="Times New Roman" w:cs="Times New Roman"/>
          <w:szCs w:val="24"/>
          <w:lang w:val="fr-FR"/>
        </w:rPr>
        <w:instrText xml:space="preserve"> SEQ level0 \*arabic </w:instrText>
      </w:r>
      <w:r w:rsidRPr="005D3CD5">
        <w:rPr>
          <w:rFonts w:ascii="Times New Roman" w:eastAsia="Times New Roman" w:hAnsi="Times New Roman" w:cs="Times New Roman"/>
          <w:szCs w:val="24"/>
          <w:lang w:val="fr-FR"/>
        </w:rPr>
        <w:fldChar w:fldCharType="separate"/>
      </w:r>
      <w:r w:rsidR="005D3CD5" w:rsidRPr="005D3CD5">
        <w:rPr>
          <w:rFonts w:ascii="Times New Roman" w:eastAsia="Times New Roman" w:hAnsi="Times New Roman" w:cs="Times New Roman"/>
          <w:noProof/>
          <w:szCs w:val="24"/>
          <w:lang w:val="fr-FR"/>
        </w:rPr>
        <w:t>75</w:t>
      </w:r>
      <w:r w:rsidRPr="005D3CD5">
        <w:rPr>
          <w:rFonts w:ascii="Times New Roman" w:eastAsia="Times New Roman" w:hAnsi="Times New Roman" w:cs="Times New Roman"/>
          <w:szCs w:val="24"/>
          <w:lang w:val="fr-FR"/>
        </w:rPr>
        <w:fldChar w:fldCharType="end"/>
      </w:r>
      <w:r w:rsidRPr="005D3CD5">
        <w:rPr>
          <w:rFonts w:ascii="Times New Roman" w:eastAsia="Times New Roman" w:hAnsi="Times New Roman" w:cs="Times New Roman"/>
          <w:szCs w:val="24"/>
          <w:lang w:val="fr-FR"/>
        </w:rPr>
        <w:t>.  </w:t>
      </w:r>
      <w:r w:rsidR="00E231EB" w:rsidRPr="005D3CD5">
        <w:rPr>
          <w:rFonts w:ascii="Times New Roman" w:eastAsia="Times New Roman" w:hAnsi="Times New Roman" w:cs="Times New Roman"/>
          <w:szCs w:val="24"/>
          <w:lang w:val="fr-FR"/>
        </w:rPr>
        <w:t>L</w:t>
      </w:r>
      <w:r w:rsidR="006802DC" w:rsidRPr="005D3CD5">
        <w:rPr>
          <w:rFonts w:ascii="Times New Roman" w:eastAsia="Times New Roman" w:hAnsi="Times New Roman" w:cs="Times New Roman"/>
          <w:szCs w:val="24"/>
          <w:lang w:val="fr-FR"/>
        </w:rPr>
        <w:t>a Cour observe ensuite que, l</w:t>
      </w:r>
      <w:r w:rsidR="00E231EB" w:rsidRPr="005D3CD5">
        <w:rPr>
          <w:rFonts w:ascii="Times New Roman" w:eastAsia="Times New Roman" w:hAnsi="Times New Roman" w:cs="Times New Roman"/>
          <w:szCs w:val="24"/>
          <w:lang w:val="fr-FR"/>
        </w:rPr>
        <w:t>e</w:t>
      </w:r>
      <w:r w:rsidR="007A674E" w:rsidRPr="005D3CD5">
        <w:rPr>
          <w:rFonts w:ascii="Times New Roman" w:eastAsia="Times New Roman" w:hAnsi="Times New Roman" w:cs="Times New Roman"/>
          <w:szCs w:val="24"/>
          <w:lang w:val="fr-FR"/>
        </w:rPr>
        <w:t xml:space="preserve"> </w:t>
      </w:r>
      <w:r w:rsidR="004E1B39" w:rsidRPr="005D3CD5">
        <w:rPr>
          <w:rFonts w:ascii="Times New Roman" w:eastAsia="Times New Roman" w:hAnsi="Times New Roman" w:cs="Times New Roman"/>
          <w:szCs w:val="24"/>
          <w:lang w:val="fr-FR"/>
        </w:rPr>
        <w:t xml:space="preserve">8 juin </w:t>
      </w:r>
      <w:r w:rsidR="009E275D" w:rsidRPr="005D3CD5">
        <w:rPr>
          <w:rFonts w:ascii="Times New Roman" w:eastAsia="Times New Roman" w:hAnsi="Times New Roman" w:cs="Times New Roman"/>
          <w:szCs w:val="24"/>
          <w:lang w:val="fr-FR"/>
        </w:rPr>
        <w:t xml:space="preserve">2010, </w:t>
      </w:r>
      <w:r w:rsidR="007A674E" w:rsidRPr="005D3CD5">
        <w:rPr>
          <w:rFonts w:ascii="Times New Roman" w:eastAsia="Times New Roman" w:hAnsi="Times New Roman" w:cs="Times New Roman"/>
          <w:szCs w:val="24"/>
          <w:lang w:val="fr-FR"/>
        </w:rPr>
        <w:t xml:space="preserve">la Cour de cassation a annulé la décision </w:t>
      </w:r>
      <w:r w:rsidR="007A674E" w:rsidRPr="005D3CD5">
        <w:rPr>
          <w:lang w:val="fr-FR"/>
        </w:rPr>
        <w:t>de prolongation de la rétention</w:t>
      </w:r>
      <w:r w:rsidR="006802DC" w:rsidRPr="005D3CD5">
        <w:rPr>
          <w:lang w:val="fr-FR"/>
        </w:rPr>
        <w:t xml:space="preserve"> au motif qu</w:t>
      </w:r>
      <w:r w:rsidR="005D3CD5" w:rsidRPr="005D3CD5">
        <w:rPr>
          <w:lang w:val="fr-FR"/>
        </w:rPr>
        <w:t>’</w:t>
      </w:r>
      <w:r w:rsidR="00670445" w:rsidRPr="005D3CD5">
        <w:rPr>
          <w:lang w:val="fr-FR"/>
        </w:rPr>
        <w:t xml:space="preserve">elle avait été </w:t>
      </w:r>
      <w:r w:rsidR="009E275D" w:rsidRPr="005D3CD5">
        <w:rPr>
          <w:lang w:val="fr-FR"/>
        </w:rPr>
        <w:t xml:space="preserve">adoptée </w:t>
      </w:r>
      <w:r w:rsidR="009E275D" w:rsidRPr="005D3CD5">
        <w:rPr>
          <w:i/>
          <w:lang w:val="fr-FR"/>
        </w:rPr>
        <w:t>de plano</w:t>
      </w:r>
      <w:r w:rsidR="00082867" w:rsidRPr="005D3CD5">
        <w:rPr>
          <w:lang w:val="fr-FR"/>
        </w:rPr>
        <w:t xml:space="preserve">, </w:t>
      </w:r>
      <w:r w:rsidR="007A674E" w:rsidRPr="005D3CD5">
        <w:rPr>
          <w:lang w:val="fr-FR"/>
        </w:rPr>
        <w:t>sans la participation des requérants et de leur avocat</w:t>
      </w:r>
      <w:r w:rsidR="004E1B39" w:rsidRPr="005D3CD5">
        <w:rPr>
          <w:lang w:val="fr-FR"/>
        </w:rPr>
        <w:t>.</w:t>
      </w:r>
    </w:p>
    <w:p w:rsidR="009E275D" w:rsidRPr="005D3CD5" w:rsidRDefault="007E5A9B" w:rsidP="005D3CD5">
      <w:pPr>
        <w:pStyle w:val="ECHRPara"/>
        <w:rPr>
          <w:rFonts w:ascii="Times New Roman" w:eastAsia="Times New Roman" w:hAnsi="Times New Roman" w:cs="Times New Roman"/>
          <w:szCs w:val="24"/>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76</w:t>
      </w:r>
      <w:r w:rsidRPr="005D3CD5">
        <w:rPr>
          <w:lang w:val="fr-FR"/>
        </w:rPr>
        <w:fldChar w:fldCharType="end"/>
      </w:r>
      <w:r w:rsidRPr="005D3CD5">
        <w:rPr>
          <w:lang w:val="fr-FR"/>
        </w:rPr>
        <w:t>.  </w:t>
      </w:r>
      <w:r w:rsidR="004E1B39" w:rsidRPr="005D3CD5">
        <w:rPr>
          <w:lang w:val="fr-FR"/>
        </w:rPr>
        <w:t>La</w:t>
      </w:r>
      <w:r w:rsidR="00BB3CBC" w:rsidRPr="005D3CD5">
        <w:rPr>
          <w:lang w:val="fr-FR"/>
        </w:rPr>
        <w:t xml:space="preserve"> Cour relève que</w:t>
      </w:r>
      <w:r w:rsidRPr="005D3CD5">
        <w:rPr>
          <w:lang w:val="fr-FR"/>
        </w:rPr>
        <w:t xml:space="preserve"> </w:t>
      </w:r>
      <w:r w:rsidR="00834BED" w:rsidRPr="005D3CD5">
        <w:rPr>
          <w:lang w:val="fr-FR"/>
        </w:rPr>
        <w:t>la jurisprudence interne</w:t>
      </w:r>
      <w:r w:rsidRPr="005D3CD5">
        <w:rPr>
          <w:lang w:val="fr-FR"/>
        </w:rPr>
        <w:t xml:space="preserve"> était déjà claire en 2002 sur la nécessité de respecter le principe du contradictoire</w:t>
      </w:r>
      <w:r w:rsidR="00BB3CBC" w:rsidRPr="005D3CD5">
        <w:rPr>
          <w:lang w:val="fr-FR"/>
        </w:rPr>
        <w:t>,</w:t>
      </w:r>
      <w:r w:rsidRPr="005D3CD5">
        <w:rPr>
          <w:lang w:val="fr-FR"/>
        </w:rPr>
        <w:t xml:space="preserve"> même en cas de prolongation d</w:t>
      </w:r>
      <w:r w:rsidR="005D3CD5" w:rsidRPr="005D3CD5">
        <w:rPr>
          <w:lang w:val="fr-FR"/>
        </w:rPr>
        <w:t>’</w:t>
      </w:r>
      <w:r w:rsidRPr="005D3CD5">
        <w:rPr>
          <w:lang w:val="fr-FR"/>
        </w:rPr>
        <w:t xml:space="preserve">une </w:t>
      </w:r>
      <w:r w:rsidR="007044A0" w:rsidRPr="005D3CD5">
        <w:rPr>
          <w:lang w:val="fr-FR"/>
        </w:rPr>
        <w:t xml:space="preserve">mesure de </w:t>
      </w:r>
      <w:r w:rsidRPr="005D3CD5">
        <w:rPr>
          <w:lang w:val="fr-FR"/>
        </w:rPr>
        <w:t>détention</w:t>
      </w:r>
      <w:r w:rsidR="00BB3CBC" w:rsidRPr="005D3CD5">
        <w:rPr>
          <w:rFonts w:ascii="Times New Roman" w:eastAsia="Times New Roman" w:hAnsi="Times New Roman" w:cs="Times New Roman"/>
          <w:szCs w:val="24"/>
          <w:lang w:val="fr-FR"/>
        </w:rPr>
        <w:t>. Elle estime que l</w:t>
      </w:r>
      <w:r w:rsidR="005D3CD5" w:rsidRPr="005D3CD5">
        <w:rPr>
          <w:rFonts w:ascii="Times New Roman" w:eastAsia="Times New Roman" w:hAnsi="Times New Roman" w:cs="Times New Roman"/>
          <w:szCs w:val="24"/>
          <w:lang w:val="fr-FR"/>
        </w:rPr>
        <w:t>’</w:t>
      </w:r>
      <w:r w:rsidR="00BB3CBC" w:rsidRPr="005D3CD5">
        <w:rPr>
          <w:rFonts w:ascii="Times New Roman" w:eastAsia="Times New Roman" w:hAnsi="Times New Roman" w:cs="Times New Roman"/>
          <w:szCs w:val="24"/>
          <w:lang w:val="fr-FR"/>
        </w:rPr>
        <w:t>omission de convoquer les intéressés et leur avocat et celle de fixer une audience s</w:t>
      </w:r>
      <w:r w:rsidR="005D3CD5" w:rsidRPr="005D3CD5">
        <w:rPr>
          <w:rFonts w:ascii="Times New Roman" w:eastAsia="Times New Roman" w:hAnsi="Times New Roman" w:cs="Times New Roman"/>
          <w:szCs w:val="24"/>
          <w:lang w:val="fr-FR"/>
        </w:rPr>
        <w:t>’</w:t>
      </w:r>
      <w:r w:rsidR="00BB3CBC" w:rsidRPr="005D3CD5">
        <w:rPr>
          <w:rFonts w:ascii="Times New Roman" w:eastAsia="Times New Roman" w:hAnsi="Times New Roman" w:cs="Times New Roman"/>
          <w:szCs w:val="24"/>
          <w:lang w:val="fr-FR"/>
        </w:rPr>
        <w:t>analysent en une «</w:t>
      </w:r>
      <w:r w:rsidR="001C6F2C" w:rsidRPr="005D3CD5">
        <w:rPr>
          <w:rFonts w:ascii="Times New Roman" w:eastAsia="Times New Roman" w:hAnsi="Times New Roman" w:cs="Times New Roman"/>
          <w:szCs w:val="24"/>
          <w:lang w:val="fr-FR"/>
        </w:rPr>
        <w:t> </w:t>
      </w:r>
      <w:r w:rsidR="00BB3CBC" w:rsidRPr="005D3CD5">
        <w:rPr>
          <w:rFonts w:ascii="Times New Roman" w:eastAsia="Times New Roman" w:hAnsi="Times New Roman" w:cs="Times New Roman"/>
          <w:szCs w:val="24"/>
          <w:lang w:val="fr-FR"/>
        </w:rPr>
        <w:t>irrégularité grave et manifeste</w:t>
      </w:r>
      <w:r w:rsidR="001C6F2C" w:rsidRPr="005D3CD5">
        <w:rPr>
          <w:rFonts w:ascii="Times New Roman" w:eastAsia="Times New Roman" w:hAnsi="Times New Roman" w:cs="Times New Roman"/>
          <w:szCs w:val="24"/>
          <w:lang w:val="fr-FR"/>
        </w:rPr>
        <w:t> </w:t>
      </w:r>
      <w:r w:rsidR="00BB3CBC" w:rsidRPr="005D3CD5">
        <w:rPr>
          <w:rFonts w:ascii="Times New Roman" w:eastAsia="Times New Roman" w:hAnsi="Times New Roman" w:cs="Times New Roman"/>
          <w:szCs w:val="24"/>
          <w:lang w:val="fr-FR"/>
        </w:rPr>
        <w:t xml:space="preserve">», au sens de sa jurisprudence </w:t>
      </w:r>
      <w:r w:rsidR="007A674E" w:rsidRPr="005D3CD5">
        <w:rPr>
          <w:rFonts w:ascii="Times New Roman" w:eastAsia="Times New Roman" w:hAnsi="Times New Roman" w:cs="Times New Roman"/>
          <w:szCs w:val="24"/>
          <w:lang w:val="fr-FR"/>
        </w:rPr>
        <w:t xml:space="preserve">(voir, a contrario, </w:t>
      </w:r>
      <w:r w:rsidR="007A674E" w:rsidRPr="005D3CD5">
        <w:rPr>
          <w:rFonts w:ascii="Times New Roman" w:eastAsia="Times New Roman" w:hAnsi="Times New Roman" w:cs="Times New Roman"/>
          <w:i/>
          <w:szCs w:val="24"/>
          <w:lang w:val="fr-FR"/>
        </w:rPr>
        <w:t>Hokic et Hrustic c. Italie,</w:t>
      </w:r>
      <w:r w:rsidR="007A674E" w:rsidRPr="005D3CD5">
        <w:rPr>
          <w:rFonts w:ascii="Times New Roman" w:eastAsia="Times New Roman" w:hAnsi="Times New Roman" w:cs="Times New Roman"/>
          <w:szCs w:val="24"/>
          <w:lang w:val="fr-FR"/>
        </w:rPr>
        <w:t xml:space="preserve"> n</w:t>
      </w:r>
      <w:r w:rsidR="007A674E" w:rsidRPr="005D3CD5">
        <w:rPr>
          <w:rFonts w:ascii="Times New Roman" w:eastAsia="Times New Roman" w:hAnsi="Times New Roman" w:cs="Times New Roman"/>
          <w:szCs w:val="24"/>
          <w:vertAlign w:val="superscript"/>
          <w:lang w:val="fr-FR"/>
        </w:rPr>
        <w:t>o</w:t>
      </w:r>
      <w:r w:rsidR="007A674E" w:rsidRPr="005D3CD5">
        <w:rPr>
          <w:rFonts w:ascii="Times New Roman" w:eastAsia="Times New Roman" w:hAnsi="Times New Roman" w:cs="Times New Roman"/>
          <w:szCs w:val="24"/>
          <w:lang w:val="fr-FR"/>
        </w:rPr>
        <w:t xml:space="preserve"> </w:t>
      </w:r>
      <w:hyperlink r:id="rId14" w:anchor="{&quot;appno&quot;:[&quot;3449/05&quot;]}" w:tgtFrame="_blank" w:history="1">
        <w:r w:rsidR="007A674E" w:rsidRPr="005D3CD5">
          <w:rPr>
            <w:rFonts w:ascii="Times New Roman" w:eastAsia="Times New Roman" w:hAnsi="Times New Roman" w:cs="Times New Roman"/>
            <w:szCs w:val="24"/>
            <w:lang w:val="fr-FR"/>
          </w:rPr>
          <w:t>3449/05</w:t>
        </w:r>
      </w:hyperlink>
      <w:r w:rsidR="007A674E" w:rsidRPr="005D3CD5">
        <w:rPr>
          <w:rFonts w:ascii="Times New Roman" w:eastAsia="Times New Roman" w:hAnsi="Times New Roman" w:cs="Times New Roman"/>
          <w:szCs w:val="24"/>
          <w:lang w:val="fr-FR"/>
        </w:rPr>
        <w:t xml:space="preserve">, </w:t>
      </w:r>
      <w:r w:rsidR="009E275D" w:rsidRPr="005D3CD5">
        <w:rPr>
          <w:rFonts w:ascii="Times New Roman" w:eastAsia="Times New Roman" w:hAnsi="Times New Roman" w:cs="Times New Roman"/>
          <w:szCs w:val="24"/>
          <w:lang w:val="fr-FR"/>
        </w:rPr>
        <w:t>§§</w:t>
      </w:r>
      <w:r w:rsidR="00D87226" w:rsidRPr="005D3CD5">
        <w:rPr>
          <w:rFonts w:ascii="Times New Roman" w:eastAsia="Times New Roman" w:hAnsi="Times New Roman" w:cs="Times New Roman"/>
          <w:szCs w:val="24"/>
          <w:lang w:val="fr-FR"/>
        </w:rPr>
        <w:t> </w:t>
      </w:r>
      <w:r w:rsidR="009E275D" w:rsidRPr="005D3CD5">
        <w:rPr>
          <w:rFonts w:ascii="Times New Roman" w:eastAsia="Times New Roman" w:hAnsi="Times New Roman" w:cs="Times New Roman"/>
          <w:szCs w:val="24"/>
          <w:lang w:val="fr-FR"/>
        </w:rPr>
        <w:t>23-24, 1</w:t>
      </w:r>
      <w:r w:rsidR="00FE3BD1" w:rsidRPr="005D3CD5">
        <w:rPr>
          <w:rFonts w:ascii="Times New Roman" w:eastAsia="Times New Roman" w:hAnsi="Times New Roman" w:cs="Times New Roman"/>
          <w:szCs w:val="24"/>
          <w:vertAlign w:val="superscript"/>
          <w:lang w:val="fr-FR"/>
        </w:rPr>
        <w:t>er</w:t>
      </w:r>
      <w:r w:rsidR="00272246" w:rsidRPr="005D3CD5">
        <w:rPr>
          <w:rFonts w:ascii="Times New Roman" w:eastAsia="Times New Roman" w:hAnsi="Times New Roman" w:cs="Times New Roman"/>
          <w:szCs w:val="24"/>
          <w:lang w:val="fr-FR"/>
        </w:rPr>
        <w:t> </w:t>
      </w:r>
      <w:r w:rsidR="009E275D" w:rsidRPr="005D3CD5">
        <w:rPr>
          <w:rFonts w:ascii="Times New Roman" w:eastAsia="Times New Roman" w:hAnsi="Times New Roman" w:cs="Times New Roman"/>
          <w:szCs w:val="24"/>
          <w:lang w:val="fr-FR"/>
        </w:rPr>
        <w:t>décembre 2009)</w:t>
      </w:r>
      <w:r w:rsidR="00834BED" w:rsidRPr="005D3CD5">
        <w:rPr>
          <w:rFonts w:ascii="Times New Roman" w:eastAsia="Times New Roman" w:hAnsi="Times New Roman" w:cs="Times New Roman"/>
          <w:szCs w:val="24"/>
          <w:lang w:val="fr-FR"/>
        </w:rPr>
        <w:t>,</w:t>
      </w:r>
      <w:r w:rsidR="00272246" w:rsidRPr="005D3CD5">
        <w:rPr>
          <w:rFonts w:ascii="Times New Roman" w:eastAsia="Times New Roman" w:hAnsi="Times New Roman" w:cs="Times New Roman"/>
          <w:szCs w:val="24"/>
          <w:lang w:val="fr-FR"/>
        </w:rPr>
        <w:t xml:space="preserve"> et que cette situation a </w:t>
      </w:r>
      <w:r w:rsidR="00E618DB" w:rsidRPr="005D3CD5">
        <w:rPr>
          <w:lang w:val="fr-FR"/>
        </w:rPr>
        <w:t>emport</w:t>
      </w:r>
      <w:r w:rsidR="00272246" w:rsidRPr="005D3CD5">
        <w:rPr>
          <w:lang w:val="fr-FR"/>
        </w:rPr>
        <w:t>é</w:t>
      </w:r>
      <w:r w:rsidR="00AD1EDC" w:rsidRPr="005D3CD5">
        <w:rPr>
          <w:lang w:val="fr-FR"/>
        </w:rPr>
        <w:t xml:space="preserve"> la</w:t>
      </w:r>
      <w:r w:rsidR="00E618DB" w:rsidRPr="005D3CD5">
        <w:rPr>
          <w:lang w:val="fr-FR"/>
        </w:rPr>
        <w:t xml:space="preserve"> nullité de cette partie de la détention</w:t>
      </w:r>
      <w:r w:rsidR="009E275D" w:rsidRPr="005D3CD5">
        <w:rPr>
          <w:lang w:val="fr-FR"/>
        </w:rPr>
        <w:t>.</w:t>
      </w:r>
    </w:p>
    <w:p w:rsidR="007A674E" w:rsidRPr="005D3CD5" w:rsidRDefault="009E275D" w:rsidP="005D3CD5">
      <w:pPr>
        <w:pStyle w:val="ECHRPara"/>
        <w:rPr>
          <w:rFonts w:ascii="Times New Roman" w:eastAsia="Times New Roman" w:hAnsi="Times New Roman" w:cs="Times New Roman"/>
          <w:szCs w:val="24"/>
          <w:lang w:val="fr-FR"/>
        </w:rPr>
      </w:pPr>
      <w:r w:rsidRPr="005D3CD5">
        <w:rPr>
          <w:rFonts w:ascii="Times New Roman" w:eastAsia="Times New Roman" w:hAnsi="Times New Roman" w:cs="Times New Roman"/>
          <w:szCs w:val="24"/>
          <w:lang w:val="fr-FR"/>
        </w:rPr>
        <w:fldChar w:fldCharType="begin"/>
      </w:r>
      <w:r w:rsidRPr="005D3CD5">
        <w:rPr>
          <w:rFonts w:ascii="Times New Roman" w:eastAsia="Times New Roman" w:hAnsi="Times New Roman" w:cs="Times New Roman"/>
          <w:szCs w:val="24"/>
          <w:lang w:val="fr-FR"/>
        </w:rPr>
        <w:instrText xml:space="preserve"> SEQ level0 \*arabic </w:instrText>
      </w:r>
      <w:r w:rsidRPr="005D3CD5">
        <w:rPr>
          <w:rFonts w:ascii="Times New Roman" w:eastAsia="Times New Roman" w:hAnsi="Times New Roman" w:cs="Times New Roman"/>
          <w:szCs w:val="24"/>
          <w:lang w:val="fr-FR"/>
        </w:rPr>
        <w:fldChar w:fldCharType="separate"/>
      </w:r>
      <w:r w:rsidR="005D3CD5" w:rsidRPr="005D3CD5">
        <w:rPr>
          <w:rFonts w:ascii="Times New Roman" w:eastAsia="Times New Roman" w:hAnsi="Times New Roman" w:cs="Times New Roman"/>
          <w:noProof/>
          <w:szCs w:val="24"/>
          <w:lang w:val="fr-FR"/>
        </w:rPr>
        <w:t>77</w:t>
      </w:r>
      <w:r w:rsidRPr="005D3CD5">
        <w:rPr>
          <w:rFonts w:ascii="Times New Roman" w:eastAsia="Times New Roman" w:hAnsi="Times New Roman" w:cs="Times New Roman"/>
          <w:szCs w:val="24"/>
          <w:lang w:val="fr-FR"/>
        </w:rPr>
        <w:fldChar w:fldCharType="end"/>
      </w:r>
      <w:r w:rsidRPr="005D3CD5">
        <w:rPr>
          <w:rFonts w:ascii="Times New Roman" w:eastAsia="Times New Roman" w:hAnsi="Times New Roman" w:cs="Times New Roman"/>
          <w:szCs w:val="24"/>
          <w:lang w:val="fr-FR"/>
        </w:rPr>
        <w:t>.  </w:t>
      </w:r>
      <w:r w:rsidR="007A674E" w:rsidRPr="005D3CD5">
        <w:rPr>
          <w:rFonts w:ascii="Times New Roman" w:eastAsia="Times New Roman" w:hAnsi="Times New Roman" w:cs="Times New Roman"/>
          <w:szCs w:val="24"/>
          <w:lang w:val="fr-FR"/>
        </w:rPr>
        <w:t xml:space="preserve">Dans ces circonstances, la Cour conclut que la </w:t>
      </w:r>
      <w:r w:rsidR="00336E98" w:rsidRPr="005D3CD5">
        <w:rPr>
          <w:rFonts w:ascii="Times New Roman" w:eastAsia="Times New Roman" w:hAnsi="Times New Roman" w:cs="Times New Roman"/>
          <w:szCs w:val="24"/>
          <w:lang w:val="fr-FR"/>
        </w:rPr>
        <w:t xml:space="preserve">prolongation de la </w:t>
      </w:r>
      <w:r w:rsidR="007A674E" w:rsidRPr="005D3CD5">
        <w:rPr>
          <w:rFonts w:ascii="Times New Roman" w:eastAsia="Times New Roman" w:hAnsi="Times New Roman" w:cs="Times New Roman"/>
          <w:szCs w:val="24"/>
          <w:lang w:val="fr-FR"/>
        </w:rPr>
        <w:t xml:space="preserve">détention </w:t>
      </w:r>
      <w:r w:rsidRPr="005D3CD5">
        <w:rPr>
          <w:rFonts w:ascii="Times New Roman" w:eastAsia="Times New Roman" w:hAnsi="Times New Roman" w:cs="Times New Roman"/>
          <w:szCs w:val="24"/>
          <w:lang w:val="fr-FR"/>
        </w:rPr>
        <w:t xml:space="preserve">des requérants du </w:t>
      </w:r>
      <w:r w:rsidR="00336E98" w:rsidRPr="005D3CD5">
        <w:rPr>
          <w:rFonts w:ascii="Times New Roman" w:eastAsia="Times New Roman" w:hAnsi="Times New Roman" w:cs="Times New Roman"/>
          <w:szCs w:val="24"/>
          <w:lang w:val="fr-FR"/>
        </w:rPr>
        <w:t>17 décembre 2008</w:t>
      </w:r>
      <w:r w:rsidRPr="005D3CD5">
        <w:rPr>
          <w:rFonts w:ascii="Times New Roman" w:eastAsia="Times New Roman" w:hAnsi="Times New Roman" w:cs="Times New Roman"/>
          <w:szCs w:val="24"/>
          <w:lang w:val="fr-FR"/>
        </w:rPr>
        <w:t xml:space="preserve"> au </w:t>
      </w:r>
      <w:r w:rsidR="008E32C9" w:rsidRPr="005D3CD5">
        <w:rPr>
          <w:rFonts w:ascii="Times New Roman" w:eastAsia="Times New Roman" w:hAnsi="Times New Roman" w:cs="Times New Roman"/>
          <w:szCs w:val="24"/>
          <w:lang w:val="fr-FR"/>
        </w:rPr>
        <w:t>14</w:t>
      </w:r>
      <w:r w:rsidRPr="005D3CD5">
        <w:rPr>
          <w:rFonts w:ascii="Times New Roman" w:eastAsia="Times New Roman" w:hAnsi="Times New Roman" w:cs="Times New Roman"/>
          <w:szCs w:val="24"/>
          <w:lang w:val="fr-FR"/>
        </w:rPr>
        <w:t xml:space="preserve"> janvier 2009</w:t>
      </w:r>
      <w:r w:rsidR="007A674E" w:rsidRPr="005D3CD5">
        <w:rPr>
          <w:rFonts w:ascii="Times New Roman" w:eastAsia="Times New Roman" w:hAnsi="Times New Roman" w:cs="Times New Roman"/>
          <w:szCs w:val="24"/>
          <w:lang w:val="fr-FR"/>
        </w:rPr>
        <w:t xml:space="preserve"> en vue de </w:t>
      </w:r>
      <w:r w:rsidRPr="005D3CD5">
        <w:rPr>
          <w:rFonts w:ascii="Times New Roman" w:eastAsia="Times New Roman" w:hAnsi="Times New Roman" w:cs="Times New Roman"/>
          <w:szCs w:val="24"/>
          <w:lang w:val="fr-FR"/>
        </w:rPr>
        <w:t>leur expulsion</w:t>
      </w:r>
      <w:r w:rsidR="007A674E" w:rsidRPr="005D3CD5">
        <w:rPr>
          <w:rFonts w:ascii="Times New Roman" w:eastAsia="Times New Roman" w:hAnsi="Times New Roman" w:cs="Times New Roman"/>
          <w:szCs w:val="24"/>
          <w:lang w:val="fr-FR"/>
        </w:rPr>
        <w:t xml:space="preserve"> n</w:t>
      </w:r>
      <w:r w:rsidR="005D3CD5" w:rsidRPr="005D3CD5">
        <w:rPr>
          <w:rFonts w:ascii="Times New Roman" w:eastAsia="Times New Roman" w:hAnsi="Times New Roman" w:cs="Times New Roman"/>
          <w:szCs w:val="24"/>
          <w:lang w:val="fr-FR"/>
        </w:rPr>
        <w:t>’</w:t>
      </w:r>
      <w:r w:rsidR="007A674E" w:rsidRPr="005D3CD5">
        <w:rPr>
          <w:rFonts w:ascii="Times New Roman" w:eastAsia="Times New Roman" w:hAnsi="Times New Roman" w:cs="Times New Roman"/>
          <w:szCs w:val="24"/>
          <w:lang w:val="fr-FR"/>
        </w:rPr>
        <w:t>était pas conforme aux voies légales.</w:t>
      </w:r>
    </w:p>
    <w:p w:rsidR="009E275D" w:rsidRPr="005D3CD5" w:rsidRDefault="009E275D" w:rsidP="005D3CD5">
      <w:pPr>
        <w:pStyle w:val="ECHRPara"/>
        <w:rPr>
          <w:rFonts w:ascii="Times New Roman" w:eastAsia="Times New Roman" w:hAnsi="Times New Roman" w:cs="Times New Roman"/>
          <w:szCs w:val="24"/>
          <w:lang w:val="fr-FR"/>
        </w:rPr>
      </w:pPr>
      <w:r w:rsidRPr="005D3CD5">
        <w:rPr>
          <w:rFonts w:ascii="Times New Roman" w:eastAsia="Times New Roman" w:hAnsi="Times New Roman" w:cs="Times New Roman"/>
          <w:szCs w:val="24"/>
          <w:lang w:val="fr-FR"/>
        </w:rPr>
        <w:fldChar w:fldCharType="begin"/>
      </w:r>
      <w:r w:rsidRPr="005D3CD5">
        <w:rPr>
          <w:rFonts w:ascii="Times New Roman" w:eastAsia="Times New Roman" w:hAnsi="Times New Roman" w:cs="Times New Roman"/>
          <w:szCs w:val="24"/>
          <w:lang w:val="fr-FR"/>
        </w:rPr>
        <w:instrText xml:space="preserve"> SEQ level0 \*arabic </w:instrText>
      </w:r>
      <w:r w:rsidRPr="005D3CD5">
        <w:rPr>
          <w:rFonts w:ascii="Times New Roman" w:eastAsia="Times New Roman" w:hAnsi="Times New Roman" w:cs="Times New Roman"/>
          <w:szCs w:val="24"/>
          <w:lang w:val="fr-FR"/>
        </w:rPr>
        <w:fldChar w:fldCharType="separate"/>
      </w:r>
      <w:r w:rsidR="005D3CD5" w:rsidRPr="005D3CD5">
        <w:rPr>
          <w:rFonts w:ascii="Times New Roman" w:eastAsia="Times New Roman" w:hAnsi="Times New Roman" w:cs="Times New Roman"/>
          <w:noProof/>
          <w:szCs w:val="24"/>
          <w:lang w:val="fr-FR"/>
        </w:rPr>
        <w:t>78</w:t>
      </w:r>
      <w:r w:rsidRPr="005D3CD5">
        <w:rPr>
          <w:rFonts w:ascii="Times New Roman" w:eastAsia="Times New Roman" w:hAnsi="Times New Roman" w:cs="Times New Roman"/>
          <w:szCs w:val="24"/>
          <w:lang w:val="fr-FR"/>
        </w:rPr>
        <w:fldChar w:fldCharType="end"/>
      </w:r>
      <w:r w:rsidRPr="005D3CD5">
        <w:rPr>
          <w:rFonts w:ascii="Times New Roman" w:eastAsia="Times New Roman" w:hAnsi="Times New Roman" w:cs="Times New Roman"/>
          <w:szCs w:val="24"/>
          <w:lang w:val="fr-FR"/>
        </w:rPr>
        <w:t>.  Partant, il y a eu violation de l</w:t>
      </w:r>
      <w:r w:rsidR="005D3CD5" w:rsidRPr="005D3CD5">
        <w:rPr>
          <w:rFonts w:ascii="Times New Roman" w:eastAsia="Times New Roman" w:hAnsi="Times New Roman" w:cs="Times New Roman"/>
          <w:szCs w:val="24"/>
          <w:lang w:val="fr-FR"/>
        </w:rPr>
        <w:t>’</w:t>
      </w:r>
      <w:r w:rsidRPr="005D3CD5">
        <w:rPr>
          <w:rFonts w:ascii="Times New Roman" w:eastAsia="Times New Roman" w:hAnsi="Times New Roman" w:cs="Times New Roman"/>
          <w:szCs w:val="24"/>
          <w:lang w:val="fr-FR"/>
        </w:rPr>
        <w:t>article 5 § 1 f) de la Convention.</w:t>
      </w:r>
    </w:p>
    <w:p w:rsidR="00E60556" w:rsidRPr="005D3CD5" w:rsidRDefault="00F9236C" w:rsidP="005D3CD5">
      <w:pPr>
        <w:pStyle w:val="ECHRHeading1"/>
        <w:rPr>
          <w:lang w:val="fr-FR"/>
        </w:rPr>
      </w:pPr>
      <w:r w:rsidRPr="005D3CD5">
        <w:rPr>
          <w:lang w:val="fr-FR"/>
        </w:rPr>
        <w:t>I</w:t>
      </w:r>
      <w:r w:rsidR="00E60556" w:rsidRPr="005D3CD5">
        <w:rPr>
          <w:lang w:val="fr-FR"/>
        </w:rPr>
        <w:t>I</w:t>
      </w:r>
      <w:r w:rsidR="001A52ED" w:rsidRPr="005D3CD5">
        <w:rPr>
          <w:lang w:val="fr-FR"/>
        </w:rPr>
        <w:t>I</w:t>
      </w:r>
      <w:r w:rsidR="00E60556" w:rsidRPr="005D3CD5">
        <w:rPr>
          <w:lang w:val="fr-FR"/>
        </w:rPr>
        <w:t>.</w:t>
      </w:r>
      <w:r w:rsidR="00DE6131" w:rsidRPr="005D3CD5">
        <w:rPr>
          <w:lang w:val="fr-FR"/>
        </w:rPr>
        <w:t>  </w:t>
      </w:r>
      <w:r w:rsidR="00E60556" w:rsidRPr="005D3CD5">
        <w:rPr>
          <w:lang w:val="fr-FR"/>
        </w:rPr>
        <w:t>SUR LA VIOLATION ALLÉGUÉE DE L</w:t>
      </w:r>
      <w:r w:rsidR="005D3CD5" w:rsidRPr="005D3CD5">
        <w:rPr>
          <w:lang w:val="fr-FR"/>
        </w:rPr>
        <w:t>’</w:t>
      </w:r>
      <w:r w:rsidR="00E60556" w:rsidRPr="005D3CD5">
        <w:rPr>
          <w:lang w:val="fr-FR"/>
        </w:rPr>
        <w:t>ARTICLE 5 § 4 DE LA CONVENTION</w:t>
      </w:r>
    </w:p>
    <w:p w:rsidR="00E77CB3" w:rsidRPr="005D3CD5" w:rsidRDefault="00411061" w:rsidP="005D3CD5">
      <w:pPr>
        <w:pStyle w:val="ECHRPara"/>
        <w:rPr>
          <w:i/>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79</w:t>
      </w:r>
      <w:r w:rsidRPr="005D3CD5">
        <w:rPr>
          <w:lang w:val="fr-FR"/>
        </w:rPr>
        <w:fldChar w:fldCharType="end"/>
      </w:r>
      <w:r w:rsidR="00E77CB3" w:rsidRPr="005D3CD5">
        <w:rPr>
          <w:lang w:val="fr-FR"/>
        </w:rPr>
        <w:t>.  </w:t>
      </w:r>
      <w:r w:rsidRPr="005D3CD5">
        <w:rPr>
          <w:lang w:val="fr-FR"/>
        </w:rPr>
        <w:t>Les requérants se plaignent</w:t>
      </w:r>
      <w:r w:rsidR="00E77CB3" w:rsidRPr="005D3CD5">
        <w:rPr>
          <w:lang w:val="fr-FR"/>
        </w:rPr>
        <w:t xml:space="preserve"> </w:t>
      </w:r>
      <w:r w:rsidR="001E243C" w:rsidRPr="005D3CD5">
        <w:rPr>
          <w:lang w:val="fr-FR"/>
        </w:rPr>
        <w:t>d</w:t>
      </w:r>
      <w:r w:rsidR="005D3CD5" w:rsidRPr="005D3CD5">
        <w:rPr>
          <w:lang w:val="fr-FR"/>
        </w:rPr>
        <w:t>’</w:t>
      </w:r>
      <w:r w:rsidR="00AD1EDC" w:rsidRPr="005D3CD5">
        <w:rPr>
          <w:lang w:val="fr-FR"/>
        </w:rPr>
        <w:t xml:space="preserve">une </w:t>
      </w:r>
      <w:r w:rsidR="003D5401" w:rsidRPr="005D3CD5">
        <w:rPr>
          <w:lang w:val="fr-FR"/>
        </w:rPr>
        <w:t>absence de voies de recours internes effectives pour contester leur dét</w:t>
      </w:r>
      <w:r w:rsidR="007B2042" w:rsidRPr="005D3CD5">
        <w:rPr>
          <w:lang w:val="fr-FR"/>
        </w:rPr>
        <w:t>ention</w:t>
      </w:r>
      <w:r w:rsidR="008C2D91" w:rsidRPr="005D3CD5">
        <w:rPr>
          <w:lang w:val="fr-FR"/>
        </w:rPr>
        <w:t>. Ils dénoncent également</w:t>
      </w:r>
      <w:r w:rsidR="007B2042" w:rsidRPr="005D3CD5">
        <w:rPr>
          <w:lang w:val="fr-FR"/>
        </w:rPr>
        <w:t xml:space="preserve"> la durée d</w:t>
      </w:r>
      <w:r w:rsidR="005D3CD5" w:rsidRPr="005D3CD5">
        <w:rPr>
          <w:lang w:val="fr-FR"/>
        </w:rPr>
        <w:t>’</w:t>
      </w:r>
      <w:r w:rsidR="003D5401" w:rsidRPr="005D3CD5">
        <w:rPr>
          <w:lang w:val="fr-FR"/>
        </w:rPr>
        <w:t xml:space="preserve">examen de leur recours judiciaire, </w:t>
      </w:r>
      <w:r w:rsidR="008C2D91" w:rsidRPr="005D3CD5">
        <w:rPr>
          <w:lang w:val="fr-FR"/>
        </w:rPr>
        <w:t>qui aurait été de</w:t>
      </w:r>
      <w:r w:rsidR="00AD1EDC" w:rsidRPr="005D3CD5">
        <w:rPr>
          <w:lang w:val="fr-FR"/>
        </w:rPr>
        <w:t xml:space="preserve"> plus de dix-huit mois</w:t>
      </w:r>
      <w:r w:rsidR="003D5401" w:rsidRPr="005D3CD5">
        <w:rPr>
          <w:lang w:val="fr-FR"/>
        </w:rPr>
        <w:t xml:space="preserve"> devant la Cour de cassation</w:t>
      </w:r>
      <w:r w:rsidR="00B81139" w:rsidRPr="005D3CD5">
        <w:rPr>
          <w:lang w:val="fr-FR"/>
        </w:rPr>
        <w:t>.</w:t>
      </w:r>
      <w:r w:rsidR="00E77CB3" w:rsidRPr="005D3CD5">
        <w:rPr>
          <w:lang w:val="fr-FR"/>
        </w:rPr>
        <w:t xml:space="preserve"> </w:t>
      </w:r>
      <w:r w:rsidRPr="005D3CD5">
        <w:rPr>
          <w:lang w:val="fr-FR"/>
        </w:rPr>
        <w:t>Ils</w:t>
      </w:r>
      <w:r w:rsidR="00E77CB3" w:rsidRPr="005D3CD5">
        <w:rPr>
          <w:lang w:val="fr-FR"/>
        </w:rPr>
        <w:t xml:space="preserve"> invoque</w:t>
      </w:r>
      <w:r w:rsidRPr="005D3CD5">
        <w:rPr>
          <w:lang w:val="fr-FR"/>
        </w:rPr>
        <w:t>nt</w:t>
      </w:r>
      <w:r w:rsidR="00E77CB3" w:rsidRPr="005D3CD5">
        <w:rPr>
          <w:lang w:val="fr-FR"/>
        </w:rPr>
        <w:t xml:space="preserve"> l</w:t>
      </w:r>
      <w:r w:rsidR="005D3CD5" w:rsidRPr="005D3CD5">
        <w:rPr>
          <w:lang w:val="fr-FR"/>
        </w:rPr>
        <w:t>’</w:t>
      </w:r>
      <w:r w:rsidR="00E77CB3" w:rsidRPr="005D3CD5">
        <w:rPr>
          <w:lang w:val="fr-FR"/>
        </w:rPr>
        <w:t xml:space="preserve">article </w:t>
      </w:r>
      <w:r w:rsidR="003D5401" w:rsidRPr="005D3CD5">
        <w:rPr>
          <w:lang w:val="fr-FR"/>
        </w:rPr>
        <w:t>5 §</w:t>
      </w:r>
      <w:r w:rsidR="0006720F" w:rsidRPr="005D3CD5">
        <w:rPr>
          <w:lang w:val="fr-FR"/>
        </w:rPr>
        <w:t xml:space="preserve"> </w:t>
      </w:r>
      <w:r w:rsidR="003D5401" w:rsidRPr="005D3CD5">
        <w:rPr>
          <w:lang w:val="fr-FR"/>
        </w:rPr>
        <w:t>4</w:t>
      </w:r>
      <w:r w:rsidR="00ED464C" w:rsidRPr="005D3CD5">
        <w:rPr>
          <w:lang w:val="fr-FR"/>
        </w:rPr>
        <w:t xml:space="preserve"> de la Convention</w:t>
      </w:r>
      <w:r w:rsidR="00AD1EDC" w:rsidRPr="005D3CD5">
        <w:rPr>
          <w:lang w:val="fr-FR"/>
        </w:rPr>
        <w:t>,</w:t>
      </w:r>
      <w:r w:rsidR="00ED464C" w:rsidRPr="005D3CD5">
        <w:rPr>
          <w:lang w:val="fr-FR"/>
        </w:rPr>
        <w:t xml:space="preserve"> ainsi libellé :</w:t>
      </w:r>
    </w:p>
    <w:p w:rsidR="00ED464C" w:rsidRPr="005D3CD5" w:rsidRDefault="0033608F" w:rsidP="005D3CD5">
      <w:pPr>
        <w:pStyle w:val="ECHRParaQuote"/>
        <w:rPr>
          <w:lang w:val="fr-FR"/>
        </w:rPr>
      </w:pPr>
      <w:r w:rsidRPr="005D3CD5">
        <w:rPr>
          <w:lang w:val="fr-FR"/>
        </w:rPr>
        <w:lastRenderedPageBreak/>
        <w:t>« </w:t>
      </w:r>
      <w:r w:rsidR="00ED464C" w:rsidRPr="005D3CD5">
        <w:rPr>
          <w:lang w:val="fr-FR"/>
        </w:rPr>
        <w:t>4.  Toute personne privée de sa liberté par arrestation ou détention a le droit d</w:t>
      </w:r>
      <w:r w:rsidR="005D3CD5" w:rsidRPr="005D3CD5">
        <w:rPr>
          <w:lang w:val="fr-FR"/>
        </w:rPr>
        <w:t>’</w:t>
      </w:r>
      <w:r w:rsidR="00ED464C" w:rsidRPr="005D3CD5">
        <w:rPr>
          <w:lang w:val="fr-FR"/>
        </w:rPr>
        <w:t>introduire un recours devant un tribunal, afin qu</w:t>
      </w:r>
      <w:r w:rsidR="005D3CD5" w:rsidRPr="005D3CD5">
        <w:rPr>
          <w:lang w:val="fr-FR"/>
        </w:rPr>
        <w:t>’</w:t>
      </w:r>
      <w:r w:rsidR="00ED464C" w:rsidRPr="005D3CD5">
        <w:rPr>
          <w:lang w:val="fr-FR"/>
        </w:rPr>
        <w:t>il statue à bref délai sur la légalité de sa détention et ordonne sa libération si la détention est illégale.</w:t>
      </w:r>
      <w:r w:rsidRPr="005D3CD5">
        <w:rPr>
          <w:lang w:val="fr-FR"/>
        </w:rPr>
        <w:t> »</w:t>
      </w:r>
    </w:p>
    <w:p w:rsidR="00C26942" w:rsidRPr="005D3CD5" w:rsidRDefault="00664C6A"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80</w:t>
      </w:r>
      <w:r w:rsidRPr="005D3CD5">
        <w:rPr>
          <w:lang w:val="fr-FR"/>
        </w:rPr>
        <w:fldChar w:fldCharType="end"/>
      </w:r>
      <w:r w:rsidRPr="005D3CD5">
        <w:rPr>
          <w:lang w:val="fr-FR"/>
        </w:rPr>
        <w:t>.  </w:t>
      </w:r>
      <w:r w:rsidR="00C26942" w:rsidRPr="005D3CD5">
        <w:rPr>
          <w:lang w:val="fr-FR"/>
        </w:rPr>
        <w:t xml:space="preserve">Le Gouvernement </w:t>
      </w:r>
      <w:r w:rsidR="0033608F" w:rsidRPr="005D3CD5">
        <w:rPr>
          <w:lang w:val="fr-FR"/>
        </w:rPr>
        <w:t>indique</w:t>
      </w:r>
      <w:r w:rsidR="00C26942" w:rsidRPr="005D3CD5">
        <w:rPr>
          <w:lang w:val="fr-FR"/>
        </w:rPr>
        <w:t xml:space="preserve"> que les requérants se sont pourvus en cassation </w:t>
      </w:r>
      <w:r w:rsidR="0033608F" w:rsidRPr="005D3CD5">
        <w:rPr>
          <w:lang w:val="fr-FR"/>
        </w:rPr>
        <w:t>alors qu</w:t>
      </w:r>
      <w:r w:rsidR="005D3CD5" w:rsidRPr="005D3CD5">
        <w:rPr>
          <w:lang w:val="fr-FR"/>
        </w:rPr>
        <w:t>’</w:t>
      </w:r>
      <w:r w:rsidR="00C26942" w:rsidRPr="005D3CD5">
        <w:rPr>
          <w:lang w:val="fr-FR"/>
        </w:rPr>
        <w:t>ils n</w:t>
      </w:r>
      <w:r w:rsidR="005D3CD5" w:rsidRPr="005D3CD5">
        <w:rPr>
          <w:lang w:val="fr-FR"/>
        </w:rPr>
        <w:t>’</w:t>
      </w:r>
      <w:r w:rsidR="00C26942" w:rsidRPr="005D3CD5">
        <w:rPr>
          <w:lang w:val="fr-FR"/>
        </w:rPr>
        <w:t>étaient plus en détention. Par conséquent</w:t>
      </w:r>
      <w:r w:rsidR="0033608F" w:rsidRPr="005D3CD5">
        <w:rPr>
          <w:lang w:val="fr-FR"/>
        </w:rPr>
        <w:t>, les intéressés</w:t>
      </w:r>
      <w:r w:rsidR="00915E31" w:rsidRPr="005D3CD5">
        <w:rPr>
          <w:lang w:val="fr-FR"/>
        </w:rPr>
        <w:t xml:space="preserve"> n</w:t>
      </w:r>
      <w:r w:rsidR="005D3CD5" w:rsidRPr="005D3CD5">
        <w:rPr>
          <w:lang w:val="fr-FR"/>
        </w:rPr>
        <w:t>’</w:t>
      </w:r>
      <w:r w:rsidR="00915E31" w:rsidRPr="005D3CD5">
        <w:rPr>
          <w:lang w:val="fr-FR"/>
        </w:rPr>
        <w:t>auraient pas le statut de victime.</w:t>
      </w:r>
    </w:p>
    <w:p w:rsidR="00D02699" w:rsidRPr="005D3CD5" w:rsidRDefault="00C26942"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81</w:t>
      </w:r>
      <w:r w:rsidRPr="005D3CD5">
        <w:rPr>
          <w:lang w:val="fr-FR"/>
        </w:rPr>
        <w:fldChar w:fldCharType="end"/>
      </w:r>
      <w:r w:rsidRPr="005D3CD5">
        <w:rPr>
          <w:lang w:val="fr-FR"/>
        </w:rPr>
        <w:t>.  </w:t>
      </w:r>
      <w:r w:rsidR="00D02699" w:rsidRPr="005D3CD5">
        <w:rPr>
          <w:lang w:val="fr-FR"/>
        </w:rPr>
        <w:t xml:space="preserve">Les requérants </w:t>
      </w:r>
      <w:r w:rsidR="00E64825" w:rsidRPr="005D3CD5">
        <w:rPr>
          <w:lang w:val="fr-FR"/>
        </w:rPr>
        <w:t>répliquent</w:t>
      </w:r>
      <w:r w:rsidR="00D02699" w:rsidRPr="005D3CD5">
        <w:rPr>
          <w:lang w:val="fr-FR"/>
        </w:rPr>
        <w:t xml:space="preserve"> </w:t>
      </w:r>
      <w:r w:rsidRPr="005D3CD5">
        <w:rPr>
          <w:lang w:val="fr-FR"/>
        </w:rPr>
        <w:t>que</w:t>
      </w:r>
      <w:r w:rsidR="00D02699" w:rsidRPr="005D3CD5">
        <w:rPr>
          <w:lang w:val="fr-FR"/>
        </w:rPr>
        <w:t xml:space="preserve"> le pourvoi en cassation n</w:t>
      </w:r>
      <w:r w:rsidR="005D3CD5" w:rsidRPr="005D3CD5">
        <w:rPr>
          <w:lang w:val="fr-FR"/>
        </w:rPr>
        <w:t>’</w:t>
      </w:r>
      <w:r w:rsidR="00D02699" w:rsidRPr="005D3CD5">
        <w:rPr>
          <w:lang w:val="fr-FR"/>
        </w:rPr>
        <w:t>est pas suspensif</w:t>
      </w:r>
      <w:r w:rsidR="00E64825" w:rsidRPr="005D3CD5">
        <w:rPr>
          <w:lang w:val="fr-FR"/>
        </w:rPr>
        <w:t>. Ils affirment également</w:t>
      </w:r>
      <w:r w:rsidR="00D02699" w:rsidRPr="005D3CD5">
        <w:rPr>
          <w:lang w:val="fr-FR"/>
        </w:rPr>
        <w:t xml:space="preserve"> que la décision de prolongation de leur </w:t>
      </w:r>
      <w:r w:rsidR="00E772FC" w:rsidRPr="005D3CD5">
        <w:rPr>
          <w:lang w:val="fr-FR"/>
        </w:rPr>
        <w:t>détention</w:t>
      </w:r>
      <w:r w:rsidR="00D02699" w:rsidRPr="005D3CD5">
        <w:rPr>
          <w:lang w:val="fr-FR"/>
        </w:rPr>
        <w:t xml:space="preserve"> n</w:t>
      </w:r>
      <w:r w:rsidR="005D3CD5" w:rsidRPr="005D3CD5">
        <w:rPr>
          <w:lang w:val="fr-FR"/>
        </w:rPr>
        <w:t>’</w:t>
      </w:r>
      <w:r w:rsidR="00D02699" w:rsidRPr="005D3CD5">
        <w:rPr>
          <w:lang w:val="fr-FR"/>
        </w:rPr>
        <w:t>indiqu</w:t>
      </w:r>
      <w:r w:rsidR="00E64825" w:rsidRPr="005D3CD5">
        <w:rPr>
          <w:lang w:val="fr-FR"/>
        </w:rPr>
        <w:t>ait pas</w:t>
      </w:r>
      <w:r w:rsidR="00D02699" w:rsidRPr="005D3CD5">
        <w:rPr>
          <w:lang w:val="fr-FR"/>
        </w:rPr>
        <w:t xml:space="preserve"> quels étaient les </w:t>
      </w:r>
      <w:r w:rsidR="00E772FC" w:rsidRPr="005D3CD5">
        <w:rPr>
          <w:lang w:val="fr-FR"/>
        </w:rPr>
        <w:t>remèdes</w:t>
      </w:r>
      <w:r w:rsidR="00D02699" w:rsidRPr="005D3CD5">
        <w:rPr>
          <w:lang w:val="fr-FR"/>
        </w:rPr>
        <w:t xml:space="preserve"> disponible</w:t>
      </w:r>
      <w:r w:rsidR="007B02CE" w:rsidRPr="005D3CD5">
        <w:rPr>
          <w:lang w:val="fr-FR"/>
        </w:rPr>
        <w:t xml:space="preserve">s pour </w:t>
      </w:r>
      <w:r w:rsidR="00E64825" w:rsidRPr="005D3CD5">
        <w:rPr>
          <w:lang w:val="fr-FR"/>
        </w:rPr>
        <w:t>contester</w:t>
      </w:r>
      <w:r w:rsidR="007B02CE" w:rsidRPr="005D3CD5">
        <w:rPr>
          <w:lang w:val="fr-FR"/>
        </w:rPr>
        <w:t xml:space="preserve"> la décision</w:t>
      </w:r>
      <w:r w:rsidRPr="005D3CD5">
        <w:rPr>
          <w:lang w:val="fr-FR"/>
        </w:rPr>
        <w:t xml:space="preserve"> du juge de paix</w:t>
      </w:r>
      <w:r w:rsidR="00E64825" w:rsidRPr="005D3CD5">
        <w:rPr>
          <w:lang w:val="fr-FR"/>
        </w:rPr>
        <w:t xml:space="preserve">, </w:t>
      </w:r>
      <w:r w:rsidR="00D02699" w:rsidRPr="005D3CD5">
        <w:rPr>
          <w:lang w:val="fr-FR"/>
        </w:rPr>
        <w:t xml:space="preserve">les autorités </w:t>
      </w:r>
      <w:r w:rsidR="00E64825" w:rsidRPr="005D3CD5">
        <w:rPr>
          <w:lang w:val="fr-FR"/>
        </w:rPr>
        <w:t>devant les</w:t>
      </w:r>
      <w:r w:rsidR="00D02699" w:rsidRPr="005D3CD5">
        <w:rPr>
          <w:lang w:val="fr-FR"/>
        </w:rPr>
        <w:t>quelles le pourv</w:t>
      </w:r>
      <w:r w:rsidR="007B02CE" w:rsidRPr="005D3CD5">
        <w:rPr>
          <w:lang w:val="fr-FR"/>
        </w:rPr>
        <w:t>oi devait être présenté</w:t>
      </w:r>
      <w:r w:rsidR="00E64825" w:rsidRPr="005D3CD5">
        <w:rPr>
          <w:lang w:val="fr-FR"/>
        </w:rPr>
        <w:t xml:space="preserve"> et le délai d</w:t>
      </w:r>
      <w:r w:rsidR="005D3CD5" w:rsidRPr="005D3CD5">
        <w:rPr>
          <w:lang w:val="fr-FR"/>
        </w:rPr>
        <w:t>’</w:t>
      </w:r>
      <w:r w:rsidR="00E64825" w:rsidRPr="005D3CD5">
        <w:rPr>
          <w:lang w:val="fr-FR"/>
        </w:rPr>
        <w:t>introduction de ce recours</w:t>
      </w:r>
      <w:r w:rsidR="00BC7C40" w:rsidRPr="005D3CD5">
        <w:rPr>
          <w:lang w:val="fr-FR"/>
        </w:rPr>
        <w:t>. I</w:t>
      </w:r>
      <w:r w:rsidR="00E64825" w:rsidRPr="005D3CD5">
        <w:rPr>
          <w:lang w:val="fr-FR"/>
        </w:rPr>
        <w:t>ls ajoutent qu</w:t>
      </w:r>
      <w:r w:rsidR="005D3CD5" w:rsidRPr="005D3CD5">
        <w:rPr>
          <w:lang w:val="fr-FR"/>
        </w:rPr>
        <w:t>’</w:t>
      </w:r>
      <w:r w:rsidR="00E64825" w:rsidRPr="005D3CD5">
        <w:rPr>
          <w:lang w:val="fr-FR"/>
        </w:rPr>
        <w:t>elle ne mentionnait pas non plus l</w:t>
      </w:r>
      <w:r w:rsidR="005D3CD5" w:rsidRPr="005D3CD5">
        <w:rPr>
          <w:lang w:val="fr-FR"/>
        </w:rPr>
        <w:t>’</w:t>
      </w:r>
      <w:r w:rsidR="00E64825" w:rsidRPr="005D3CD5">
        <w:rPr>
          <w:lang w:val="fr-FR"/>
        </w:rPr>
        <w:t>obligation de présence d</w:t>
      </w:r>
      <w:r w:rsidR="005D3CD5" w:rsidRPr="005D3CD5">
        <w:rPr>
          <w:lang w:val="fr-FR"/>
        </w:rPr>
        <w:t>’</w:t>
      </w:r>
      <w:r w:rsidR="00E64825" w:rsidRPr="005D3CD5">
        <w:rPr>
          <w:lang w:val="fr-FR"/>
        </w:rPr>
        <w:t>un avocat</w:t>
      </w:r>
      <w:r w:rsidR="00D02699" w:rsidRPr="005D3CD5">
        <w:rPr>
          <w:lang w:val="fr-FR"/>
        </w:rPr>
        <w:t xml:space="preserve"> devant les juridictions supérieures. </w:t>
      </w:r>
      <w:r w:rsidR="00E27B2A" w:rsidRPr="005D3CD5">
        <w:rPr>
          <w:lang w:val="fr-FR"/>
        </w:rPr>
        <w:t xml:space="preserve">Ils </w:t>
      </w:r>
      <w:r w:rsidR="00E64825" w:rsidRPr="005D3CD5">
        <w:rPr>
          <w:lang w:val="fr-FR"/>
        </w:rPr>
        <w:t>indiquent aussi</w:t>
      </w:r>
      <w:r w:rsidR="00D02699" w:rsidRPr="005D3CD5">
        <w:rPr>
          <w:lang w:val="fr-FR"/>
        </w:rPr>
        <w:t xml:space="preserve"> qu</w:t>
      </w:r>
      <w:r w:rsidR="005D3CD5" w:rsidRPr="005D3CD5">
        <w:rPr>
          <w:lang w:val="fr-FR"/>
        </w:rPr>
        <w:t>’</w:t>
      </w:r>
      <w:r w:rsidR="00E64825" w:rsidRPr="005D3CD5">
        <w:rPr>
          <w:lang w:val="fr-FR"/>
        </w:rPr>
        <w:t>eux seuls se sont vu notifier</w:t>
      </w:r>
      <w:r w:rsidR="00D02699" w:rsidRPr="005D3CD5">
        <w:rPr>
          <w:lang w:val="fr-FR"/>
        </w:rPr>
        <w:t xml:space="preserve"> la décision de prolongation</w:t>
      </w:r>
      <w:r w:rsidR="00E64825" w:rsidRPr="005D3CD5">
        <w:rPr>
          <w:lang w:val="fr-FR"/>
        </w:rPr>
        <w:t>, et non</w:t>
      </w:r>
      <w:r w:rsidR="007B2042" w:rsidRPr="005D3CD5">
        <w:rPr>
          <w:lang w:val="fr-FR"/>
        </w:rPr>
        <w:t xml:space="preserve"> leur avocat</w:t>
      </w:r>
      <w:r w:rsidR="00BB4AFF" w:rsidRPr="005D3CD5">
        <w:rPr>
          <w:lang w:val="fr-FR"/>
        </w:rPr>
        <w:t xml:space="preserve"> (</w:t>
      </w:r>
      <w:r w:rsidR="00E27B2A" w:rsidRPr="005D3CD5">
        <w:rPr>
          <w:lang w:val="fr-FR"/>
        </w:rPr>
        <w:t>paragraphe</w:t>
      </w:r>
      <w:r w:rsidR="00E64825" w:rsidRPr="005D3CD5">
        <w:rPr>
          <w:lang w:val="fr-FR"/>
        </w:rPr>
        <w:t> </w:t>
      </w:r>
      <w:r w:rsidR="007E61D4" w:rsidRPr="005D3CD5">
        <w:rPr>
          <w:rFonts w:eastAsia="Times New Roman"/>
          <w:noProof/>
          <w:lang w:val="fr-FR"/>
        </w:rPr>
        <w:t>12</w:t>
      </w:r>
      <w:r w:rsidR="00BB4AFF" w:rsidRPr="005D3CD5">
        <w:rPr>
          <w:lang w:val="fr-FR"/>
        </w:rPr>
        <w:t xml:space="preserve"> ci-dessus)</w:t>
      </w:r>
    </w:p>
    <w:p w:rsidR="009F210B" w:rsidRPr="005D3CD5" w:rsidRDefault="00745EC3"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82</w:t>
      </w:r>
      <w:r w:rsidRPr="005D3CD5">
        <w:rPr>
          <w:lang w:val="fr-FR"/>
        </w:rPr>
        <w:fldChar w:fldCharType="end"/>
      </w:r>
      <w:r w:rsidRPr="005D3CD5">
        <w:rPr>
          <w:lang w:val="fr-FR"/>
        </w:rPr>
        <w:t>.  </w:t>
      </w:r>
      <w:r w:rsidR="00CD7961" w:rsidRPr="005D3CD5">
        <w:rPr>
          <w:lang w:val="fr-FR"/>
        </w:rPr>
        <w:t>La Cour rappelle</w:t>
      </w:r>
      <w:r w:rsidR="00C26942" w:rsidRPr="005D3CD5">
        <w:rPr>
          <w:lang w:val="fr-FR"/>
        </w:rPr>
        <w:t xml:space="preserve"> que l</w:t>
      </w:r>
      <w:r w:rsidR="005D3CD5" w:rsidRPr="005D3CD5">
        <w:rPr>
          <w:lang w:val="fr-FR"/>
        </w:rPr>
        <w:t>’</w:t>
      </w:r>
      <w:r w:rsidR="00C26942" w:rsidRPr="005D3CD5">
        <w:rPr>
          <w:lang w:val="fr-FR"/>
        </w:rPr>
        <w:t xml:space="preserve">article </w:t>
      </w:r>
      <w:r w:rsidR="00360F30" w:rsidRPr="005D3CD5">
        <w:rPr>
          <w:lang w:val="fr-FR"/>
        </w:rPr>
        <w:t>5 §</w:t>
      </w:r>
      <w:r w:rsidR="00C26942" w:rsidRPr="005D3CD5">
        <w:rPr>
          <w:lang w:val="fr-FR"/>
        </w:rPr>
        <w:t xml:space="preserve"> </w:t>
      </w:r>
      <w:r w:rsidR="00360F30" w:rsidRPr="005D3CD5">
        <w:rPr>
          <w:lang w:val="fr-FR"/>
        </w:rPr>
        <w:t xml:space="preserve">4 </w:t>
      </w:r>
      <w:r w:rsidR="00485533" w:rsidRPr="005D3CD5">
        <w:rPr>
          <w:lang w:val="fr-FR"/>
        </w:rPr>
        <w:t xml:space="preserve">de la Convention </w:t>
      </w:r>
      <w:r w:rsidR="00360F30" w:rsidRPr="005D3CD5">
        <w:rPr>
          <w:lang w:val="fr-FR"/>
        </w:rPr>
        <w:t xml:space="preserve">peut être applicable seulement aux personnes </w:t>
      </w:r>
      <w:r w:rsidR="00161182" w:rsidRPr="005D3CD5">
        <w:rPr>
          <w:lang w:val="fr-FR"/>
        </w:rPr>
        <w:t>détenues</w:t>
      </w:r>
      <w:r w:rsidR="00360F30" w:rsidRPr="005D3CD5">
        <w:rPr>
          <w:lang w:val="fr-FR"/>
        </w:rPr>
        <w:t xml:space="preserve"> et ne peut pas </w:t>
      </w:r>
      <w:r w:rsidR="00161182" w:rsidRPr="005D3CD5">
        <w:rPr>
          <w:lang w:val="fr-FR"/>
        </w:rPr>
        <w:t>être</w:t>
      </w:r>
      <w:r w:rsidR="007153DF" w:rsidRPr="005D3CD5">
        <w:rPr>
          <w:lang w:val="fr-FR"/>
        </w:rPr>
        <w:t xml:space="preserve"> invoqué</w:t>
      </w:r>
      <w:r w:rsidR="00360F30" w:rsidRPr="005D3CD5">
        <w:rPr>
          <w:lang w:val="fr-FR"/>
        </w:rPr>
        <w:t xml:space="preserve"> par une personne en liberté pour faire constater la prétendue illégalité d</w:t>
      </w:r>
      <w:r w:rsidR="005D3CD5" w:rsidRPr="005D3CD5">
        <w:rPr>
          <w:lang w:val="fr-FR"/>
        </w:rPr>
        <w:t>’</w:t>
      </w:r>
      <w:r w:rsidR="00360F30" w:rsidRPr="005D3CD5">
        <w:rPr>
          <w:lang w:val="fr-FR"/>
        </w:rPr>
        <w:t xml:space="preserve">une détention </w:t>
      </w:r>
      <w:r w:rsidR="007153DF" w:rsidRPr="005D3CD5">
        <w:rPr>
          <w:lang w:val="fr-FR"/>
        </w:rPr>
        <w:t>antérieure</w:t>
      </w:r>
      <w:r w:rsidR="00161182" w:rsidRPr="005D3CD5">
        <w:rPr>
          <w:lang w:val="fr-FR"/>
        </w:rPr>
        <w:t xml:space="preserve"> </w:t>
      </w:r>
      <w:r w:rsidR="00D02699" w:rsidRPr="005D3CD5">
        <w:rPr>
          <w:lang w:val="fr-FR"/>
        </w:rPr>
        <w:t>(</w:t>
      </w:r>
      <w:r w:rsidR="00C26942" w:rsidRPr="005D3CD5">
        <w:rPr>
          <w:i/>
          <w:lang w:val="fr-FR"/>
        </w:rPr>
        <w:t>Stephens c. Malte (n</w:t>
      </w:r>
      <w:r w:rsidR="00C26942" w:rsidRPr="005D3CD5">
        <w:rPr>
          <w:i/>
          <w:vertAlign w:val="superscript"/>
          <w:lang w:val="fr-FR"/>
        </w:rPr>
        <w:t>o</w:t>
      </w:r>
      <w:r w:rsidR="00C26942" w:rsidRPr="005D3CD5">
        <w:rPr>
          <w:i/>
          <w:lang w:val="fr-FR"/>
        </w:rPr>
        <w:t xml:space="preserve"> 1)</w:t>
      </w:r>
      <w:r w:rsidR="00C26942" w:rsidRPr="005D3CD5">
        <w:rPr>
          <w:lang w:val="fr-FR"/>
        </w:rPr>
        <w:t xml:space="preserve">, </w:t>
      </w:r>
      <w:r w:rsidR="00AC3457" w:rsidRPr="005D3CD5">
        <w:rPr>
          <w:lang w:val="fr-FR"/>
        </w:rPr>
        <w:t>n</w:t>
      </w:r>
      <w:r w:rsidR="00910F06" w:rsidRPr="005D3CD5">
        <w:rPr>
          <w:vertAlign w:val="superscript"/>
          <w:lang w:val="fr-FR"/>
        </w:rPr>
        <w:t xml:space="preserve">o </w:t>
      </w:r>
      <w:r w:rsidR="00910F06" w:rsidRPr="005D3CD5">
        <w:rPr>
          <w:lang w:val="fr-FR"/>
        </w:rPr>
        <w:t>11956/07</w:t>
      </w:r>
      <w:r w:rsidR="00C26942" w:rsidRPr="005D3CD5">
        <w:rPr>
          <w:lang w:val="fr-FR"/>
        </w:rPr>
        <w:t xml:space="preserve">, § 102, 21 avril 2009, </w:t>
      </w:r>
      <w:r w:rsidR="007B2042" w:rsidRPr="005D3CD5">
        <w:rPr>
          <w:i/>
          <w:lang w:val="fr-FR"/>
        </w:rPr>
        <w:t xml:space="preserve">X c. Suède </w:t>
      </w:r>
      <w:r w:rsidR="00AC3457" w:rsidRPr="005D3CD5">
        <w:rPr>
          <w:lang w:val="fr-FR"/>
        </w:rPr>
        <w:t>n</w:t>
      </w:r>
      <w:r w:rsidR="00AC3457" w:rsidRPr="005D3CD5">
        <w:rPr>
          <w:vertAlign w:val="superscript"/>
          <w:lang w:val="fr-FR"/>
        </w:rPr>
        <w:t>o</w:t>
      </w:r>
      <w:r w:rsidR="00AC3457" w:rsidRPr="005D3CD5">
        <w:rPr>
          <w:lang w:val="fr-FR"/>
        </w:rPr>
        <w:t xml:space="preserve"> </w:t>
      </w:r>
      <w:r w:rsidR="007B2042" w:rsidRPr="005D3CD5">
        <w:rPr>
          <w:lang w:val="fr-FR"/>
        </w:rPr>
        <w:t>10230/82</w:t>
      </w:r>
      <w:r w:rsidR="00485533" w:rsidRPr="005D3CD5">
        <w:rPr>
          <w:lang w:val="fr-FR"/>
        </w:rPr>
        <w:t>,</w:t>
      </w:r>
      <w:r w:rsidR="007B2042" w:rsidRPr="005D3CD5">
        <w:rPr>
          <w:lang w:val="fr-FR"/>
        </w:rPr>
        <w:t xml:space="preserve"> décision de la Commission du 11 mai 1983, Décisions et rapports (DR)</w:t>
      </w:r>
      <w:r w:rsidR="00360F30" w:rsidRPr="005D3CD5">
        <w:rPr>
          <w:lang w:val="fr-FR"/>
        </w:rPr>
        <w:t xml:space="preserve">, </w:t>
      </w:r>
      <w:r w:rsidR="007B2042" w:rsidRPr="005D3CD5">
        <w:rPr>
          <w:lang w:val="fr-FR"/>
        </w:rPr>
        <w:t xml:space="preserve">et </w:t>
      </w:r>
      <w:r w:rsidR="00360F30" w:rsidRPr="005D3CD5">
        <w:rPr>
          <w:i/>
          <w:lang w:val="fr-FR"/>
        </w:rPr>
        <w:t xml:space="preserve">A.K. c. </w:t>
      </w:r>
      <w:r w:rsidR="006F4F0F" w:rsidRPr="005D3CD5">
        <w:rPr>
          <w:i/>
          <w:lang w:val="fr-FR"/>
        </w:rPr>
        <w:t xml:space="preserve">Autriche </w:t>
      </w:r>
      <w:r w:rsidR="006F4F0F" w:rsidRPr="005D3CD5">
        <w:rPr>
          <w:lang w:val="fr-FR"/>
        </w:rPr>
        <w:t>n</w:t>
      </w:r>
      <w:r w:rsidR="00910F06" w:rsidRPr="005D3CD5">
        <w:rPr>
          <w:vertAlign w:val="superscript"/>
          <w:lang w:val="fr-FR"/>
        </w:rPr>
        <w:t>o</w:t>
      </w:r>
      <w:r w:rsidR="003A7755" w:rsidRPr="005D3CD5">
        <w:rPr>
          <w:vertAlign w:val="superscript"/>
          <w:lang w:val="fr-FR"/>
        </w:rPr>
        <w:t xml:space="preserve"> </w:t>
      </w:r>
      <w:r w:rsidR="003A7755" w:rsidRPr="005D3CD5">
        <w:rPr>
          <w:lang w:val="fr-FR"/>
        </w:rPr>
        <w:t xml:space="preserve">20832/92, </w:t>
      </w:r>
      <w:r w:rsidR="007B2042" w:rsidRPr="005D3CD5">
        <w:rPr>
          <w:lang w:val="fr-FR"/>
        </w:rPr>
        <w:t>décision de la Commission du 1</w:t>
      </w:r>
      <w:r w:rsidR="007B2042" w:rsidRPr="005D3CD5">
        <w:rPr>
          <w:vertAlign w:val="superscript"/>
          <w:lang w:val="fr-FR"/>
        </w:rPr>
        <w:t>er</w:t>
      </w:r>
      <w:r w:rsidR="007B2042" w:rsidRPr="005D3CD5">
        <w:rPr>
          <w:lang w:val="fr-FR"/>
        </w:rPr>
        <w:t xml:space="preserve"> décembre 1993</w:t>
      </w:r>
      <w:r w:rsidR="00E27B2A" w:rsidRPr="005D3CD5">
        <w:rPr>
          <w:lang w:val="fr-FR"/>
        </w:rPr>
        <w:t>).</w:t>
      </w:r>
    </w:p>
    <w:p w:rsidR="00DB4E1B" w:rsidRPr="005D3CD5" w:rsidRDefault="007153DF" w:rsidP="005D3CD5">
      <w:pPr>
        <w:pStyle w:val="ECHRPara"/>
        <w:rPr>
          <w:i/>
          <w:lang w:val="fr-FR"/>
        </w:rPr>
      </w:pPr>
      <w:r w:rsidRPr="005D3CD5">
        <w:fldChar w:fldCharType="begin"/>
      </w:r>
      <w:r w:rsidRPr="005D3CD5">
        <w:rPr>
          <w:lang w:val="fr-FR"/>
        </w:rPr>
        <w:instrText xml:space="preserve"> SEQ level0 \*arabic </w:instrText>
      </w:r>
      <w:r w:rsidRPr="005D3CD5">
        <w:fldChar w:fldCharType="separate"/>
      </w:r>
      <w:r w:rsidR="005D3CD5" w:rsidRPr="005D3CD5">
        <w:rPr>
          <w:noProof/>
          <w:lang w:val="fr-FR"/>
        </w:rPr>
        <w:t>83</w:t>
      </w:r>
      <w:r w:rsidRPr="005D3CD5">
        <w:fldChar w:fldCharType="end"/>
      </w:r>
      <w:r w:rsidRPr="005D3CD5">
        <w:rPr>
          <w:lang w:val="fr-FR"/>
        </w:rPr>
        <w:t xml:space="preserve">.  Dans </w:t>
      </w:r>
      <w:r w:rsidR="00E363F0" w:rsidRPr="005D3CD5">
        <w:rPr>
          <w:lang w:val="fr-FR"/>
        </w:rPr>
        <w:t xml:space="preserve">la présente </w:t>
      </w:r>
      <w:r w:rsidR="00DC6BB8" w:rsidRPr="005D3CD5">
        <w:rPr>
          <w:lang w:val="fr-FR"/>
        </w:rPr>
        <w:t>affaire</w:t>
      </w:r>
      <w:r w:rsidRPr="005D3CD5">
        <w:rPr>
          <w:lang w:val="fr-FR"/>
        </w:rPr>
        <w:t xml:space="preserve">, </w:t>
      </w:r>
      <w:r w:rsidR="00DC6BB8" w:rsidRPr="005D3CD5">
        <w:rPr>
          <w:lang w:val="fr-FR"/>
        </w:rPr>
        <w:t xml:space="preserve">la Cour observe que </w:t>
      </w:r>
      <w:r w:rsidR="00DB4E1B" w:rsidRPr="005D3CD5">
        <w:rPr>
          <w:lang w:val="fr-FR"/>
        </w:rPr>
        <w:t>les requérants se sont pourvus en cassation le 16 février 2009, alors qu</w:t>
      </w:r>
      <w:r w:rsidR="005D3CD5" w:rsidRPr="005D3CD5">
        <w:rPr>
          <w:lang w:val="fr-FR"/>
        </w:rPr>
        <w:t>’</w:t>
      </w:r>
      <w:r w:rsidR="00DB4E1B" w:rsidRPr="005D3CD5">
        <w:rPr>
          <w:lang w:val="fr-FR"/>
        </w:rPr>
        <w:t xml:space="preserve">ils avaient été libérés le </w:t>
      </w:r>
      <w:r w:rsidR="007B2042" w:rsidRPr="005D3CD5">
        <w:rPr>
          <w:lang w:val="fr-FR"/>
        </w:rPr>
        <w:t>14</w:t>
      </w:r>
      <w:r w:rsidR="00DC6BB8" w:rsidRPr="005D3CD5">
        <w:rPr>
          <w:lang w:val="fr-FR"/>
        </w:rPr>
        <w:t> </w:t>
      </w:r>
      <w:r w:rsidR="007B2042" w:rsidRPr="005D3CD5">
        <w:rPr>
          <w:lang w:val="fr-FR"/>
        </w:rPr>
        <w:t>janvier 2009</w:t>
      </w:r>
      <w:r w:rsidR="00664C6A" w:rsidRPr="005D3CD5">
        <w:rPr>
          <w:lang w:val="fr-FR"/>
        </w:rPr>
        <w:t>.</w:t>
      </w:r>
      <w:r w:rsidR="00E363F0" w:rsidRPr="005D3CD5">
        <w:rPr>
          <w:lang w:val="fr-FR"/>
        </w:rPr>
        <w:t xml:space="preserve"> </w:t>
      </w:r>
      <w:r w:rsidR="00664C6A" w:rsidRPr="005D3CD5">
        <w:rPr>
          <w:lang w:val="fr-FR"/>
        </w:rPr>
        <w:t xml:space="preserve">Il convient de noter par ailleurs </w:t>
      </w:r>
      <w:r w:rsidR="00E363F0" w:rsidRPr="005D3CD5">
        <w:rPr>
          <w:lang w:val="fr-FR"/>
        </w:rPr>
        <w:t xml:space="preserve">que le recours en question </w:t>
      </w:r>
      <w:r w:rsidR="00DB4E1B" w:rsidRPr="005D3CD5">
        <w:rPr>
          <w:lang w:val="fr-FR"/>
        </w:rPr>
        <w:t>était disponible à l</w:t>
      </w:r>
      <w:r w:rsidR="005D3CD5" w:rsidRPr="005D3CD5">
        <w:rPr>
          <w:lang w:val="fr-FR"/>
        </w:rPr>
        <w:t>’</w:t>
      </w:r>
      <w:r w:rsidR="00DB4E1B" w:rsidRPr="005D3CD5">
        <w:rPr>
          <w:lang w:val="fr-FR"/>
        </w:rPr>
        <w:t xml:space="preserve">époque où </w:t>
      </w:r>
      <w:r w:rsidR="00664C6A" w:rsidRPr="005D3CD5">
        <w:rPr>
          <w:lang w:val="fr-FR"/>
        </w:rPr>
        <w:t xml:space="preserve">les requérants </w:t>
      </w:r>
      <w:r w:rsidR="00DB4E1B" w:rsidRPr="005D3CD5">
        <w:rPr>
          <w:lang w:val="fr-FR"/>
        </w:rPr>
        <w:t>étaient détenus</w:t>
      </w:r>
      <w:r w:rsidR="00626914" w:rsidRPr="005D3CD5">
        <w:rPr>
          <w:lang w:val="fr-FR"/>
        </w:rPr>
        <w:t xml:space="preserve"> et que rien ne les empêchait de se prévaloir d</w:t>
      </w:r>
      <w:r w:rsidR="005D3CD5" w:rsidRPr="005D3CD5">
        <w:rPr>
          <w:lang w:val="fr-FR"/>
        </w:rPr>
        <w:t>’</w:t>
      </w:r>
      <w:r w:rsidR="00626914" w:rsidRPr="005D3CD5">
        <w:rPr>
          <w:lang w:val="fr-FR"/>
        </w:rPr>
        <w:t>un tel recours</w:t>
      </w:r>
      <w:r w:rsidR="00745EC3" w:rsidRPr="005D3CD5">
        <w:rPr>
          <w:lang w:val="fr-FR"/>
        </w:rPr>
        <w:t xml:space="preserve"> (voir </w:t>
      </w:r>
      <w:r w:rsidR="00626914" w:rsidRPr="005D3CD5">
        <w:rPr>
          <w:i/>
          <w:lang w:val="fr-FR"/>
        </w:rPr>
        <w:t>a</w:t>
      </w:r>
      <w:r w:rsidR="00745EC3" w:rsidRPr="005D3CD5">
        <w:rPr>
          <w:i/>
          <w:lang w:val="fr-FR"/>
        </w:rPr>
        <w:t xml:space="preserve"> contrario</w:t>
      </w:r>
      <w:r w:rsidR="00745EC3" w:rsidRPr="005D3CD5">
        <w:rPr>
          <w:lang w:val="fr-FR"/>
        </w:rPr>
        <w:t xml:space="preserve"> </w:t>
      </w:r>
      <w:r w:rsidR="00626914" w:rsidRPr="005D3CD5">
        <w:rPr>
          <w:i/>
          <w:snapToGrid w:val="0"/>
          <w:lang w:val="fr-FR"/>
        </w:rPr>
        <w:t>Aden Ahmed</w:t>
      </w:r>
      <w:r w:rsidR="00626914" w:rsidRPr="005D3CD5">
        <w:rPr>
          <w:snapToGrid w:val="0"/>
          <w:lang w:val="fr-FR"/>
        </w:rPr>
        <w:t xml:space="preserve"> </w:t>
      </w:r>
      <w:r w:rsidR="005D3CD5" w:rsidRPr="005D3CD5">
        <w:rPr>
          <w:i/>
          <w:snapToGrid w:val="0"/>
          <w:lang w:val="fr-FR"/>
        </w:rPr>
        <w:t>c. </w:t>
      </w:r>
      <w:r w:rsidR="00626914" w:rsidRPr="005D3CD5">
        <w:rPr>
          <w:i/>
          <w:snapToGrid w:val="0"/>
          <w:lang w:val="fr-FR"/>
        </w:rPr>
        <w:t>Malte</w:t>
      </w:r>
      <w:r w:rsidR="00626914" w:rsidRPr="005D3CD5">
        <w:rPr>
          <w:snapToGrid w:val="0"/>
          <w:lang w:val="fr-FR"/>
        </w:rPr>
        <w:t>, n</w:t>
      </w:r>
      <w:r w:rsidR="00626914" w:rsidRPr="005D3CD5">
        <w:rPr>
          <w:snapToGrid w:val="0"/>
          <w:vertAlign w:val="superscript"/>
          <w:lang w:val="fr-FR"/>
        </w:rPr>
        <w:t>o</w:t>
      </w:r>
      <w:r w:rsidR="00626914" w:rsidRPr="005D3CD5">
        <w:rPr>
          <w:snapToGrid w:val="0"/>
          <w:lang w:val="fr-FR"/>
        </w:rPr>
        <w:t xml:space="preserve"> 55352/12, § 105, 23 juillet 2013</w:t>
      </w:r>
      <w:r w:rsidR="00745EC3" w:rsidRPr="005D3CD5">
        <w:rPr>
          <w:lang w:val="fr-FR"/>
        </w:rPr>
        <w:t>)</w:t>
      </w:r>
      <w:r w:rsidR="00626914" w:rsidRPr="005D3CD5">
        <w:rPr>
          <w:lang w:val="fr-FR"/>
        </w:rPr>
        <w:t>.</w:t>
      </w:r>
    </w:p>
    <w:p w:rsidR="00DB4E1B" w:rsidRPr="005D3CD5" w:rsidRDefault="00DB4E1B" w:rsidP="005D3CD5">
      <w:pPr>
        <w:pStyle w:val="ECHRPara"/>
        <w:rPr>
          <w:lang w:val="fr-FR"/>
        </w:rPr>
      </w:pPr>
      <w:r w:rsidRPr="005D3CD5">
        <w:fldChar w:fldCharType="begin"/>
      </w:r>
      <w:r w:rsidRPr="005D3CD5">
        <w:rPr>
          <w:lang w:val="fr-FR"/>
        </w:rPr>
        <w:instrText xml:space="preserve"> SEQ level0 \*arabic </w:instrText>
      </w:r>
      <w:r w:rsidRPr="005D3CD5">
        <w:fldChar w:fldCharType="separate"/>
      </w:r>
      <w:r w:rsidR="005D3CD5" w:rsidRPr="005D3CD5">
        <w:rPr>
          <w:noProof/>
          <w:lang w:val="fr-FR"/>
        </w:rPr>
        <w:t>84</w:t>
      </w:r>
      <w:r w:rsidRPr="005D3CD5">
        <w:fldChar w:fldCharType="end"/>
      </w:r>
      <w:r w:rsidRPr="005D3CD5">
        <w:rPr>
          <w:lang w:val="fr-FR"/>
        </w:rPr>
        <w:t>.  Il s</w:t>
      </w:r>
      <w:r w:rsidR="005D3CD5" w:rsidRPr="005D3CD5">
        <w:rPr>
          <w:lang w:val="fr-FR"/>
        </w:rPr>
        <w:t>’</w:t>
      </w:r>
      <w:r w:rsidRPr="005D3CD5">
        <w:rPr>
          <w:lang w:val="fr-FR"/>
        </w:rPr>
        <w:t xml:space="preserve">ensuit que ce grief est incompatible </w:t>
      </w:r>
      <w:r w:rsidRPr="005D3CD5">
        <w:rPr>
          <w:i/>
          <w:lang w:val="fr-FR"/>
        </w:rPr>
        <w:t>ratione materiae</w:t>
      </w:r>
      <w:r w:rsidRPr="005D3CD5">
        <w:rPr>
          <w:lang w:val="fr-FR"/>
        </w:rPr>
        <w:t xml:space="preserve"> avec les dispositions de la Convention au sens de l</w:t>
      </w:r>
      <w:r w:rsidR="005D3CD5" w:rsidRPr="005D3CD5">
        <w:rPr>
          <w:lang w:val="fr-FR"/>
        </w:rPr>
        <w:t>’</w:t>
      </w:r>
      <w:r w:rsidRPr="005D3CD5">
        <w:rPr>
          <w:lang w:val="fr-FR"/>
        </w:rPr>
        <w:t>article 35 § 3 a) et qu</w:t>
      </w:r>
      <w:r w:rsidR="005D3CD5" w:rsidRPr="005D3CD5">
        <w:rPr>
          <w:lang w:val="fr-FR"/>
        </w:rPr>
        <w:t>’</w:t>
      </w:r>
      <w:r w:rsidRPr="005D3CD5">
        <w:rPr>
          <w:lang w:val="fr-FR"/>
        </w:rPr>
        <w:t>il doit être rejeté en application de l</w:t>
      </w:r>
      <w:r w:rsidR="005D3CD5" w:rsidRPr="005D3CD5">
        <w:rPr>
          <w:lang w:val="fr-FR"/>
        </w:rPr>
        <w:t>’</w:t>
      </w:r>
      <w:r w:rsidRPr="005D3CD5">
        <w:rPr>
          <w:lang w:val="fr-FR"/>
        </w:rPr>
        <w:t>article 35 § 4.</w:t>
      </w:r>
    </w:p>
    <w:p w:rsidR="003D5401" w:rsidRPr="005D3CD5" w:rsidRDefault="00F9236C" w:rsidP="005D3CD5">
      <w:pPr>
        <w:pStyle w:val="ECHRHeading1"/>
        <w:rPr>
          <w:lang w:val="fr-FR"/>
        </w:rPr>
      </w:pPr>
      <w:r w:rsidRPr="005D3CD5">
        <w:rPr>
          <w:lang w:val="fr-FR"/>
        </w:rPr>
        <w:t>IV</w:t>
      </w:r>
      <w:r w:rsidR="003D5401" w:rsidRPr="005D3CD5">
        <w:rPr>
          <w:lang w:val="fr-FR"/>
        </w:rPr>
        <w:t>.  SUR LA VIOLATION ALLÉGUÉE DE L</w:t>
      </w:r>
      <w:r w:rsidR="005D3CD5" w:rsidRPr="005D3CD5">
        <w:rPr>
          <w:lang w:val="fr-FR"/>
        </w:rPr>
        <w:t>’</w:t>
      </w:r>
      <w:r w:rsidR="003D5401" w:rsidRPr="005D3CD5">
        <w:rPr>
          <w:lang w:val="fr-FR"/>
        </w:rPr>
        <w:t>ARTICLE 5 § 5 DE LA CONVENTION</w:t>
      </w:r>
    </w:p>
    <w:p w:rsidR="003D5401" w:rsidRPr="005D3CD5" w:rsidRDefault="001A52ED"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85</w:t>
      </w:r>
      <w:r w:rsidRPr="005D3CD5">
        <w:rPr>
          <w:lang w:val="fr-FR"/>
        </w:rPr>
        <w:fldChar w:fldCharType="end"/>
      </w:r>
      <w:r w:rsidRPr="005D3CD5">
        <w:rPr>
          <w:lang w:val="fr-FR"/>
        </w:rPr>
        <w:t>.  </w:t>
      </w:r>
      <w:r w:rsidR="00132A77" w:rsidRPr="005D3CD5">
        <w:rPr>
          <w:lang w:val="fr-FR"/>
        </w:rPr>
        <w:t>Les requérants</w:t>
      </w:r>
      <w:r w:rsidR="003D5401" w:rsidRPr="005D3CD5">
        <w:rPr>
          <w:lang w:val="fr-FR"/>
        </w:rPr>
        <w:t xml:space="preserve"> allègue</w:t>
      </w:r>
      <w:r w:rsidR="00132A77" w:rsidRPr="005D3CD5">
        <w:rPr>
          <w:lang w:val="fr-FR"/>
        </w:rPr>
        <w:t>nt</w:t>
      </w:r>
      <w:r w:rsidR="003D5401" w:rsidRPr="005D3CD5">
        <w:rPr>
          <w:lang w:val="fr-FR"/>
        </w:rPr>
        <w:t xml:space="preserve"> ne disposer, en droit italien, d</w:t>
      </w:r>
      <w:r w:rsidR="005D3CD5" w:rsidRPr="005D3CD5">
        <w:rPr>
          <w:lang w:val="fr-FR"/>
        </w:rPr>
        <w:t>’</w:t>
      </w:r>
      <w:r w:rsidR="003D5401" w:rsidRPr="005D3CD5">
        <w:rPr>
          <w:lang w:val="fr-FR"/>
        </w:rPr>
        <w:t xml:space="preserve">aucun moyen pour obtenir réparation pour les violations dénoncées </w:t>
      </w:r>
      <w:r w:rsidR="00C53A5B" w:rsidRPr="005D3CD5">
        <w:rPr>
          <w:lang w:val="fr-FR"/>
        </w:rPr>
        <w:t>par eux</w:t>
      </w:r>
      <w:r w:rsidR="003D5401" w:rsidRPr="005D3CD5">
        <w:rPr>
          <w:lang w:val="fr-FR"/>
        </w:rPr>
        <w:t xml:space="preserve">. </w:t>
      </w:r>
      <w:r w:rsidR="00132A77" w:rsidRPr="005D3CD5">
        <w:rPr>
          <w:lang w:val="fr-FR"/>
        </w:rPr>
        <w:t xml:space="preserve">Ils </w:t>
      </w:r>
      <w:r w:rsidR="003D5401" w:rsidRPr="005D3CD5">
        <w:rPr>
          <w:lang w:val="fr-FR"/>
        </w:rPr>
        <w:t>invoque</w:t>
      </w:r>
      <w:r w:rsidR="00132A77" w:rsidRPr="005D3CD5">
        <w:rPr>
          <w:lang w:val="fr-FR"/>
        </w:rPr>
        <w:t>nt</w:t>
      </w:r>
      <w:r w:rsidR="003D5401" w:rsidRPr="005D3CD5">
        <w:rPr>
          <w:lang w:val="fr-FR"/>
        </w:rPr>
        <w:t xml:space="preserve"> l</w:t>
      </w:r>
      <w:r w:rsidR="005D3CD5" w:rsidRPr="005D3CD5">
        <w:rPr>
          <w:lang w:val="fr-FR"/>
        </w:rPr>
        <w:t>’</w:t>
      </w:r>
      <w:r w:rsidR="003D5401" w:rsidRPr="005D3CD5">
        <w:rPr>
          <w:lang w:val="fr-FR"/>
        </w:rPr>
        <w:t xml:space="preserve">article 5 § 5 </w:t>
      </w:r>
      <w:r w:rsidR="00132A77" w:rsidRPr="005D3CD5">
        <w:rPr>
          <w:lang w:val="fr-FR"/>
        </w:rPr>
        <w:t>la Convention</w:t>
      </w:r>
      <w:r w:rsidR="00C53A5B" w:rsidRPr="005D3CD5">
        <w:rPr>
          <w:lang w:val="fr-FR"/>
        </w:rPr>
        <w:t xml:space="preserve">, </w:t>
      </w:r>
      <w:r w:rsidR="003D5401" w:rsidRPr="005D3CD5">
        <w:rPr>
          <w:lang w:val="fr-FR"/>
        </w:rPr>
        <w:t>qui se lit ainsi :</w:t>
      </w:r>
    </w:p>
    <w:p w:rsidR="003D5401" w:rsidRPr="005D3CD5" w:rsidRDefault="002212AC" w:rsidP="005D3CD5">
      <w:pPr>
        <w:pStyle w:val="ECHRParaQuote"/>
        <w:rPr>
          <w:lang w:val="fr-FR"/>
        </w:rPr>
      </w:pPr>
      <w:r w:rsidRPr="005D3CD5">
        <w:rPr>
          <w:lang w:val="fr-FR"/>
        </w:rPr>
        <w:t>« </w:t>
      </w:r>
      <w:r w:rsidR="003D5401" w:rsidRPr="005D3CD5">
        <w:rPr>
          <w:lang w:val="fr-FR"/>
        </w:rPr>
        <w:t>5. Toute personne victime d</w:t>
      </w:r>
      <w:r w:rsidR="005D3CD5" w:rsidRPr="005D3CD5">
        <w:rPr>
          <w:lang w:val="fr-FR"/>
        </w:rPr>
        <w:t>’</w:t>
      </w:r>
      <w:r w:rsidR="003D5401" w:rsidRPr="005D3CD5">
        <w:rPr>
          <w:lang w:val="fr-FR"/>
        </w:rPr>
        <w:t>une arrestation ou d</w:t>
      </w:r>
      <w:r w:rsidR="005D3CD5" w:rsidRPr="005D3CD5">
        <w:rPr>
          <w:lang w:val="fr-FR"/>
        </w:rPr>
        <w:t>’</w:t>
      </w:r>
      <w:r w:rsidR="003D5401" w:rsidRPr="005D3CD5">
        <w:rPr>
          <w:lang w:val="fr-FR"/>
        </w:rPr>
        <w:t>une détention dans des conditions contraires aux dispositions de cet article a droit à réparation. »</w:t>
      </w:r>
    </w:p>
    <w:p w:rsidR="003D5401" w:rsidRPr="005D3CD5" w:rsidRDefault="001A52ED"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86</w:t>
      </w:r>
      <w:r w:rsidRPr="005D3CD5">
        <w:rPr>
          <w:lang w:val="fr-FR"/>
        </w:rPr>
        <w:fldChar w:fldCharType="end"/>
      </w:r>
      <w:r w:rsidRPr="005D3CD5">
        <w:rPr>
          <w:lang w:val="fr-FR"/>
        </w:rPr>
        <w:t>.  </w:t>
      </w:r>
      <w:r w:rsidR="003D5401" w:rsidRPr="005D3CD5">
        <w:rPr>
          <w:lang w:val="fr-FR"/>
        </w:rPr>
        <w:t>Le Gouvernement conteste cette thèse.</w:t>
      </w:r>
    </w:p>
    <w:p w:rsidR="003D5401" w:rsidRPr="005D3CD5" w:rsidRDefault="003D5401" w:rsidP="005D3CD5">
      <w:pPr>
        <w:pStyle w:val="ECHRHeading2"/>
        <w:rPr>
          <w:lang w:val="fr-FR"/>
        </w:rPr>
      </w:pPr>
      <w:r w:rsidRPr="005D3CD5">
        <w:rPr>
          <w:lang w:val="fr-FR"/>
        </w:rPr>
        <w:lastRenderedPageBreak/>
        <w:t>A.</w:t>
      </w:r>
      <w:r w:rsidR="00BD564A" w:rsidRPr="005D3CD5">
        <w:rPr>
          <w:lang w:val="fr-FR"/>
        </w:rPr>
        <w:t>  </w:t>
      </w:r>
      <w:r w:rsidRPr="005D3CD5">
        <w:rPr>
          <w:lang w:val="fr-FR"/>
        </w:rPr>
        <w:t>Sur la recevabilité</w:t>
      </w:r>
    </w:p>
    <w:p w:rsidR="003D5401" w:rsidRPr="005D3CD5" w:rsidRDefault="001A52ED"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87</w:t>
      </w:r>
      <w:r w:rsidRPr="005D3CD5">
        <w:rPr>
          <w:lang w:val="fr-FR"/>
        </w:rPr>
        <w:fldChar w:fldCharType="end"/>
      </w:r>
      <w:r w:rsidRPr="005D3CD5">
        <w:rPr>
          <w:lang w:val="fr-FR"/>
        </w:rPr>
        <w:t>.  </w:t>
      </w:r>
      <w:r w:rsidR="003D5401" w:rsidRPr="005D3CD5">
        <w:rPr>
          <w:lang w:val="fr-FR"/>
        </w:rPr>
        <w:t xml:space="preserve">La Cour relève que ce grief est lié </w:t>
      </w:r>
      <w:r w:rsidR="00A067E8" w:rsidRPr="005D3CD5">
        <w:rPr>
          <w:lang w:val="fr-FR"/>
        </w:rPr>
        <w:t>au grief tiré de l</w:t>
      </w:r>
      <w:r w:rsidR="005D3CD5" w:rsidRPr="005D3CD5">
        <w:rPr>
          <w:lang w:val="fr-FR"/>
        </w:rPr>
        <w:t>’</w:t>
      </w:r>
      <w:r w:rsidR="00A067E8" w:rsidRPr="005D3CD5">
        <w:rPr>
          <w:lang w:val="fr-FR"/>
        </w:rPr>
        <w:t xml:space="preserve">article 5 § 1 f) de la Convention, </w:t>
      </w:r>
      <w:r w:rsidR="003D5401" w:rsidRPr="005D3CD5">
        <w:rPr>
          <w:lang w:val="fr-FR"/>
        </w:rPr>
        <w:t>examiné ci-</w:t>
      </w:r>
      <w:r w:rsidR="00A067E8" w:rsidRPr="005D3CD5">
        <w:rPr>
          <w:lang w:val="fr-FR"/>
        </w:rPr>
        <w:t>avant</w:t>
      </w:r>
      <w:r w:rsidRPr="005D3CD5">
        <w:rPr>
          <w:lang w:val="fr-FR"/>
        </w:rPr>
        <w:t xml:space="preserve"> </w:t>
      </w:r>
      <w:r w:rsidR="00915E31" w:rsidRPr="005D3CD5">
        <w:rPr>
          <w:lang w:val="fr-FR"/>
        </w:rPr>
        <w:t>(</w:t>
      </w:r>
      <w:r w:rsidR="00D36DF8" w:rsidRPr="005D3CD5">
        <w:rPr>
          <w:lang w:val="fr-FR"/>
        </w:rPr>
        <w:t xml:space="preserve">paragraphes </w:t>
      </w:r>
      <w:r w:rsidR="007E61D4" w:rsidRPr="005D3CD5">
        <w:rPr>
          <w:noProof/>
          <w:lang w:val="fr-FR"/>
        </w:rPr>
        <w:t>74</w:t>
      </w:r>
      <w:r w:rsidR="00D36DF8" w:rsidRPr="005D3CD5">
        <w:rPr>
          <w:lang w:val="fr-FR"/>
        </w:rPr>
        <w:t>-</w:t>
      </w:r>
      <w:r w:rsidR="007E61D4" w:rsidRPr="005D3CD5">
        <w:rPr>
          <w:rFonts w:ascii="Times New Roman" w:eastAsia="Times New Roman" w:hAnsi="Times New Roman" w:cs="Times New Roman"/>
          <w:noProof/>
          <w:szCs w:val="24"/>
          <w:lang w:val="fr-FR"/>
        </w:rPr>
        <w:t>78</w:t>
      </w:r>
      <w:r w:rsidR="00D36DF8" w:rsidRPr="005D3CD5">
        <w:rPr>
          <w:lang w:val="fr-FR"/>
        </w:rPr>
        <w:t xml:space="preserve"> ci-dessus</w:t>
      </w:r>
      <w:r w:rsidRPr="005D3CD5">
        <w:rPr>
          <w:lang w:val="fr-FR"/>
        </w:rPr>
        <w:t>)</w:t>
      </w:r>
      <w:r w:rsidR="00A067E8" w:rsidRPr="005D3CD5">
        <w:rPr>
          <w:lang w:val="fr-FR"/>
        </w:rPr>
        <w:t>,</w:t>
      </w:r>
      <w:r w:rsidR="003D5401" w:rsidRPr="005D3CD5">
        <w:rPr>
          <w:lang w:val="fr-FR"/>
        </w:rPr>
        <w:t xml:space="preserve"> et </w:t>
      </w:r>
      <w:r w:rsidR="00A067E8" w:rsidRPr="005D3CD5">
        <w:rPr>
          <w:lang w:val="fr-FR"/>
        </w:rPr>
        <w:t>qu</w:t>
      </w:r>
      <w:r w:rsidR="005D3CD5" w:rsidRPr="005D3CD5">
        <w:rPr>
          <w:lang w:val="fr-FR"/>
        </w:rPr>
        <w:t>’</w:t>
      </w:r>
      <w:r w:rsidR="00A067E8" w:rsidRPr="005D3CD5">
        <w:rPr>
          <w:lang w:val="fr-FR"/>
        </w:rPr>
        <w:t xml:space="preserve">il </w:t>
      </w:r>
      <w:r w:rsidR="003D5401" w:rsidRPr="005D3CD5">
        <w:rPr>
          <w:lang w:val="fr-FR"/>
        </w:rPr>
        <w:t>doit donc aussi être déclaré recevable.</w:t>
      </w:r>
    </w:p>
    <w:p w:rsidR="003D5401" w:rsidRPr="005D3CD5" w:rsidRDefault="003D5401" w:rsidP="005D3CD5">
      <w:pPr>
        <w:pStyle w:val="ECHRHeading2"/>
        <w:rPr>
          <w:lang w:val="fr-FR"/>
        </w:rPr>
      </w:pPr>
      <w:r w:rsidRPr="005D3CD5">
        <w:rPr>
          <w:lang w:val="fr-FR"/>
        </w:rPr>
        <w:t>B.</w:t>
      </w:r>
      <w:r w:rsidR="00BD564A" w:rsidRPr="005D3CD5">
        <w:rPr>
          <w:lang w:val="fr-FR"/>
        </w:rPr>
        <w:t>  </w:t>
      </w:r>
      <w:r w:rsidRPr="005D3CD5">
        <w:rPr>
          <w:lang w:val="fr-FR"/>
        </w:rPr>
        <w:t>Sur le fond</w:t>
      </w:r>
    </w:p>
    <w:p w:rsidR="0006720F" w:rsidRPr="005D3CD5" w:rsidRDefault="0006720F" w:rsidP="005D3CD5">
      <w:pPr>
        <w:pStyle w:val="ECHRHeading3"/>
        <w:rPr>
          <w:lang w:val="fr-FR"/>
        </w:rPr>
      </w:pPr>
      <w:r w:rsidRPr="005D3CD5">
        <w:rPr>
          <w:lang w:val="fr-FR"/>
        </w:rPr>
        <w:t>1.</w:t>
      </w:r>
      <w:r w:rsidR="00BD564A" w:rsidRPr="005D3CD5">
        <w:rPr>
          <w:lang w:val="fr-FR"/>
        </w:rPr>
        <w:t>  </w:t>
      </w:r>
      <w:r w:rsidRPr="005D3CD5">
        <w:rPr>
          <w:lang w:val="fr-FR"/>
        </w:rPr>
        <w:t>Arguments des parties</w:t>
      </w:r>
    </w:p>
    <w:p w:rsidR="0006720F" w:rsidRPr="005D3CD5" w:rsidRDefault="001A52ED" w:rsidP="005D3CD5">
      <w:pPr>
        <w:pStyle w:val="ECHRPara"/>
        <w:rPr>
          <w:b/>
          <w:bCs/>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88</w:t>
      </w:r>
      <w:r w:rsidRPr="005D3CD5">
        <w:rPr>
          <w:lang w:val="fr-FR"/>
        </w:rPr>
        <w:fldChar w:fldCharType="end"/>
      </w:r>
      <w:r w:rsidRPr="005D3CD5">
        <w:rPr>
          <w:lang w:val="fr-FR"/>
        </w:rPr>
        <w:t>.  </w:t>
      </w:r>
      <w:r w:rsidR="0006720F" w:rsidRPr="005D3CD5">
        <w:rPr>
          <w:lang w:val="fr-FR"/>
        </w:rPr>
        <w:t>Les requérants affirment ne pas disposer en droit italien d</w:t>
      </w:r>
      <w:r w:rsidR="005D3CD5" w:rsidRPr="005D3CD5">
        <w:rPr>
          <w:lang w:val="fr-FR"/>
        </w:rPr>
        <w:t>’</w:t>
      </w:r>
      <w:r w:rsidR="0006720F" w:rsidRPr="005D3CD5">
        <w:rPr>
          <w:lang w:val="fr-FR"/>
        </w:rPr>
        <w:t>un remède disponible pour obtenir réparation</w:t>
      </w:r>
      <w:r w:rsidR="00875EF3" w:rsidRPr="005D3CD5">
        <w:rPr>
          <w:lang w:val="fr-FR"/>
        </w:rPr>
        <w:t xml:space="preserve"> pour les violations alléguées par eux</w:t>
      </w:r>
      <w:r w:rsidR="0006720F" w:rsidRPr="005D3CD5">
        <w:rPr>
          <w:lang w:val="fr-FR"/>
        </w:rPr>
        <w:t xml:space="preserve">. </w:t>
      </w:r>
      <w:r w:rsidR="00875EF3" w:rsidRPr="005D3CD5">
        <w:rPr>
          <w:lang w:val="fr-FR"/>
        </w:rPr>
        <w:t>À</w:t>
      </w:r>
      <w:r w:rsidR="0006720F" w:rsidRPr="005D3CD5">
        <w:rPr>
          <w:lang w:val="fr-FR"/>
        </w:rPr>
        <w:t xml:space="preserve"> cet égard, ils </w:t>
      </w:r>
      <w:r w:rsidR="00875EF3" w:rsidRPr="005D3CD5">
        <w:rPr>
          <w:lang w:val="fr-FR"/>
        </w:rPr>
        <w:t>indiquent</w:t>
      </w:r>
      <w:r w:rsidR="0006720F" w:rsidRPr="005D3CD5">
        <w:rPr>
          <w:lang w:val="fr-FR"/>
        </w:rPr>
        <w:t xml:space="preserve"> que la Cour</w:t>
      </w:r>
      <w:r w:rsidR="00EF5672" w:rsidRPr="005D3CD5">
        <w:rPr>
          <w:lang w:val="fr-FR"/>
        </w:rPr>
        <w:t xml:space="preserve"> et la CJUE, respectivement </w:t>
      </w:r>
      <w:r w:rsidR="0006720F" w:rsidRPr="005D3CD5">
        <w:rPr>
          <w:lang w:val="fr-FR"/>
        </w:rPr>
        <w:t>dans l</w:t>
      </w:r>
      <w:r w:rsidR="00875EF3" w:rsidRPr="005D3CD5">
        <w:rPr>
          <w:lang w:val="fr-FR"/>
        </w:rPr>
        <w:t xml:space="preserve">es </w:t>
      </w:r>
      <w:r w:rsidR="0006720F" w:rsidRPr="005D3CD5">
        <w:rPr>
          <w:lang w:val="fr-FR"/>
        </w:rPr>
        <w:t>affaire</w:t>
      </w:r>
      <w:r w:rsidR="00875EF3" w:rsidRPr="005D3CD5">
        <w:rPr>
          <w:lang w:val="fr-FR"/>
        </w:rPr>
        <w:t>s</w:t>
      </w:r>
      <w:r w:rsidR="0006720F" w:rsidRPr="005D3CD5">
        <w:rPr>
          <w:lang w:val="fr-FR"/>
        </w:rPr>
        <w:t xml:space="preserve"> </w:t>
      </w:r>
      <w:r w:rsidR="0006720F" w:rsidRPr="005D3CD5">
        <w:rPr>
          <w:i/>
          <w:lang w:val="fr-FR"/>
        </w:rPr>
        <w:t>Zeciri</w:t>
      </w:r>
      <w:r w:rsidR="0006720F" w:rsidRPr="005D3CD5">
        <w:rPr>
          <w:lang w:val="fr-FR"/>
        </w:rPr>
        <w:t xml:space="preserve"> </w:t>
      </w:r>
      <w:r w:rsidR="00875EF3" w:rsidRPr="005D3CD5">
        <w:rPr>
          <w:lang w:val="fr-FR"/>
        </w:rPr>
        <w:t>(</w:t>
      </w:r>
      <w:r w:rsidR="0006720F" w:rsidRPr="005D3CD5">
        <w:rPr>
          <w:lang w:val="fr-FR"/>
        </w:rPr>
        <w:t>précité</w:t>
      </w:r>
      <w:r w:rsidR="00875EF3" w:rsidRPr="005D3CD5">
        <w:rPr>
          <w:lang w:val="fr-FR"/>
        </w:rPr>
        <w:t>e)</w:t>
      </w:r>
      <w:r w:rsidR="0006720F" w:rsidRPr="005D3CD5">
        <w:rPr>
          <w:lang w:val="fr-FR"/>
        </w:rPr>
        <w:t xml:space="preserve"> et </w:t>
      </w:r>
      <w:r w:rsidR="0006720F" w:rsidRPr="005D3CD5">
        <w:rPr>
          <w:i/>
          <w:lang w:val="fr-FR"/>
        </w:rPr>
        <w:t>Seferovic c. Italie</w:t>
      </w:r>
      <w:r w:rsidR="0006720F" w:rsidRPr="005D3CD5">
        <w:rPr>
          <w:lang w:val="fr-FR"/>
        </w:rPr>
        <w:t xml:space="preserve"> </w:t>
      </w:r>
      <w:r w:rsidR="00875EF3" w:rsidRPr="005D3CD5">
        <w:rPr>
          <w:lang w:val="fr-FR"/>
        </w:rPr>
        <w:t>(</w:t>
      </w:r>
      <w:r w:rsidR="0006720F" w:rsidRPr="005D3CD5">
        <w:rPr>
          <w:lang w:val="fr-FR"/>
        </w:rPr>
        <w:t>n</w:t>
      </w:r>
      <w:r w:rsidR="0006720F" w:rsidRPr="005D3CD5">
        <w:rPr>
          <w:vertAlign w:val="superscript"/>
          <w:lang w:val="fr-FR"/>
        </w:rPr>
        <w:t>o</w:t>
      </w:r>
      <w:r w:rsidR="0006720F" w:rsidRPr="005D3CD5">
        <w:rPr>
          <w:lang w:val="fr-FR"/>
        </w:rPr>
        <w:t xml:space="preserve"> 12921/04, 8 février 2011)</w:t>
      </w:r>
      <w:r w:rsidR="00EF5672" w:rsidRPr="005D3CD5">
        <w:rPr>
          <w:lang w:val="fr-FR"/>
        </w:rPr>
        <w:t xml:space="preserve"> </w:t>
      </w:r>
      <w:r w:rsidR="0006720F" w:rsidRPr="005D3CD5">
        <w:rPr>
          <w:lang w:val="fr-FR"/>
        </w:rPr>
        <w:t>et dans l</w:t>
      </w:r>
      <w:r w:rsidR="005D3CD5" w:rsidRPr="005D3CD5">
        <w:rPr>
          <w:lang w:val="fr-FR"/>
        </w:rPr>
        <w:t>’</w:t>
      </w:r>
      <w:r w:rsidR="0006720F" w:rsidRPr="005D3CD5">
        <w:rPr>
          <w:lang w:val="fr-FR"/>
        </w:rPr>
        <w:t xml:space="preserve">affaire </w:t>
      </w:r>
      <w:r w:rsidR="0006720F" w:rsidRPr="005D3CD5">
        <w:rPr>
          <w:bCs/>
          <w:lang w:val="fr-FR"/>
        </w:rPr>
        <w:t xml:space="preserve">C-173/03 </w:t>
      </w:r>
      <w:r w:rsidR="0006720F" w:rsidRPr="005D3CD5">
        <w:rPr>
          <w:bCs/>
          <w:i/>
          <w:lang w:val="fr-FR"/>
        </w:rPr>
        <w:t>Traghetti del Mediterraneo SpA</w:t>
      </w:r>
      <w:r w:rsidR="0006720F" w:rsidRPr="005D3CD5">
        <w:rPr>
          <w:bCs/>
          <w:lang w:val="fr-FR"/>
        </w:rPr>
        <w:t xml:space="preserve"> </w:t>
      </w:r>
      <w:r w:rsidR="007F1034" w:rsidRPr="005D3CD5">
        <w:rPr>
          <w:bCs/>
          <w:lang w:val="fr-FR"/>
        </w:rPr>
        <w:t>c</w:t>
      </w:r>
      <w:r w:rsidR="0006720F" w:rsidRPr="005D3CD5">
        <w:rPr>
          <w:bCs/>
          <w:lang w:val="fr-FR"/>
        </w:rPr>
        <w:t>. Italie (arrêt du 13</w:t>
      </w:r>
      <w:r w:rsidR="005D3CD5" w:rsidRPr="005D3CD5">
        <w:rPr>
          <w:bCs/>
          <w:lang w:val="fr-FR"/>
        </w:rPr>
        <w:t> </w:t>
      </w:r>
      <w:r w:rsidR="007F1034" w:rsidRPr="005D3CD5">
        <w:rPr>
          <w:bCs/>
          <w:lang w:val="fr-FR"/>
        </w:rPr>
        <w:t xml:space="preserve">juin </w:t>
      </w:r>
      <w:r w:rsidR="0006720F" w:rsidRPr="005D3CD5">
        <w:rPr>
          <w:bCs/>
          <w:lang w:val="fr-FR"/>
        </w:rPr>
        <w:t>2006)</w:t>
      </w:r>
      <w:r w:rsidR="0006720F" w:rsidRPr="005D3CD5">
        <w:rPr>
          <w:lang w:val="fr-FR"/>
        </w:rPr>
        <w:t xml:space="preserve">, ont </w:t>
      </w:r>
      <w:r w:rsidR="00653906" w:rsidRPr="005D3CD5">
        <w:rPr>
          <w:lang w:val="fr-FR"/>
        </w:rPr>
        <w:t xml:space="preserve">jugé </w:t>
      </w:r>
      <w:r w:rsidR="0006720F" w:rsidRPr="005D3CD5">
        <w:rPr>
          <w:lang w:val="fr-FR"/>
        </w:rPr>
        <w:t xml:space="preserve">que ni le recours </w:t>
      </w:r>
      <w:r w:rsidR="00653906" w:rsidRPr="005D3CD5">
        <w:rPr>
          <w:lang w:val="fr-FR"/>
        </w:rPr>
        <w:t>prévu à l</w:t>
      </w:r>
      <w:r w:rsidR="005D3CD5" w:rsidRPr="005D3CD5">
        <w:rPr>
          <w:lang w:val="fr-FR"/>
        </w:rPr>
        <w:t>’</w:t>
      </w:r>
      <w:r w:rsidR="00653906" w:rsidRPr="005D3CD5">
        <w:rPr>
          <w:lang w:val="fr-FR"/>
        </w:rPr>
        <w:t>a</w:t>
      </w:r>
      <w:r w:rsidR="0006720F" w:rsidRPr="005D3CD5">
        <w:rPr>
          <w:lang w:val="fr-FR"/>
        </w:rPr>
        <w:t>rticle 314</w:t>
      </w:r>
      <w:r w:rsidR="00653906" w:rsidRPr="005D3CD5">
        <w:rPr>
          <w:lang w:val="fr-FR"/>
        </w:rPr>
        <w:t xml:space="preserve"> du CPP</w:t>
      </w:r>
      <w:r w:rsidR="0006720F" w:rsidRPr="005D3CD5">
        <w:rPr>
          <w:lang w:val="fr-FR"/>
        </w:rPr>
        <w:t xml:space="preserve"> ni le recours en responsabilité civile de</w:t>
      </w:r>
      <w:r w:rsidR="00653906" w:rsidRPr="005D3CD5">
        <w:rPr>
          <w:lang w:val="fr-FR"/>
        </w:rPr>
        <w:t>s</w:t>
      </w:r>
      <w:r w:rsidR="0006720F" w:rsidRPr="005D3CD5">
        <w:rPr>
          <w:lang w:val="fr-FR"/>
        </w:rPr>
        <w:t xml:space="preserve"> magistrats ne constitu</w:t>
      </w:r>
      <w:r w:rsidR="00653906" w:rsidRPr="005D3CD5">
        <w:rPr>
          <w:lang w:val="fr-FR"/>
        </w:rPr>
        <w:t>aient</w:t>
      </w:r>
      <w:r w:rsidR="0006720F" w:rsidRPr="005D3CD5">
        <w:rPr>
          <w:lang w:val="fr-FR"/>
        </w:rPr>
        <w:t xml:space="preserve"> </w:t>
      </w:r>
      <w:r w:rsidR="00BB1204" w:rsidRPr="005D3CD5">
        <w:rPr>
          <w:lang w:val="fr-FR"/>
        </w:rPr>
        <w:t>des</w:t>
      </w:r>
      <w:r w:rsidR="0006720F" w:rsidRPr="005D3CD5">
        <w:rPr>
          <w:lang w:val="fr-FR"/>
        </w:rPr>
        <w:t xml:space="preserve"> remède</w:t>
      </w:r>
      <w:r w:rsidR="00BB1204" w:rsidRPr="005D3CD5">
        <w:rPr>
          <w:lang w:val="fr-FR"/>
        </w:rPr>
        <w:t>s</w:t>
      </w:r>
      <w:r w:rsidR="0006720F" w:rsidRPr="005D3CD5">
        <w:rPr>
          <w:lang w:val="fr-FR"/>
        </w:rPr>
        <w:t xml:space="preserve"> eff</w:t>
      </w:r>
      <w:r w:rsidR="00653906" w:rsidRPr="005D3CD5">
        <w:rPr>
          <w:lang w:val="fr-FR"/>
        </w:rPr>
        <w:t>ectif</w:t>
      </w:r>
      <w:r w:rsidR="00BB1204" w:rsidRPr="005D3CD5">
        <w:rPr>
          <w:lang w:val="fr-FR"/>
        </w:rPr>
        <w:t>s</w:t>
      </w:r>
      <w:r w:rsidR="0006720F" w:rsidRPr="005D3CD5">
        <w:rPr>
          <w:lang w:val="fr-FR"/>
        </w:rPr>
        <w:t>.</w:t>
      </w:r>
    </w:p>
    <w:p w:rsidR="0006720F" w:rsidRPr="005D3CD5" w:rsidRDefault="00D36DF8"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89</w:t>
      </w:r>
      <w:r w:rsidRPr="005D3CD5">
        <w:rPr>
          <w:lang w:val="fr-FR"/>
        </w:rPr>
        <w:fldChar w:fldCharType="end"/>
      </w:r>
      <w:r w:rsidRPr="005D3CD5">
        <w:rPr>
          <w:lang w:val="fr-FR"/>
        </w:rPr>
        <w:t>.  </w:t>
      </w:r>
      <w:r w:rsidR="0006720F" w:rsidRPr="005D3CD5">
        <w:rPr>
          <w:lang w:val="fr-FR"/>
        </w:rPr>
        <w:t xml:space="preserve">Le Gouvernement soutient que </w:t>
      </w:r>
      <w:r w:rsidR="009477F2" w:rsidRPr="005D3CD5">
        <w:rPr>
          <w:lang w:val="fr-FR"/>
        </w:rPr>
        <w:t>l</w:t>
      </w:r>
      <w:r w:rsidR="005D3CD5" w:rsidRPr="005D3CD5">
        <w:rPr>
          <w:lang w:val="fr-FR"/>
        </w:rPr>
        <w:t>’</w:t>
      </w:r>
      <w:r w:rsidR="009477F2" w:rsidRPr="005D3CD5">
        <w:rPr>
          <w:lang w:val="fr-FR"/>
        </w:rPr>
        <w:t xml:space="preserve">article 5 § 5 </w:t>
      </w:r>
      <w:r w:rsidR="0006720F" w:rsidRPr="005D3CD5">
        <w:rPr>
          <w:lang w:val="fr-FR"/>
        </w:rPr>
        <w:t>de la Convention</w:t>
      </w:r>
      <w:r w:rsidR="009477F2" w:rsidRPr="005D3CD5">
        <w:rPr>
          <w:lang w:val="fr-FR"/>
        </w:rPr>
        <w:t xml:space="preserve"> n</w:t>
      </w:r>
      <w:r w:rsidR="005D3CD5" w:rsidRPr="005D3CD5">
        <w:rPr>
          <w:lang w:val="fr-FR"/>
        </w:rPr>
        <w:t>’</w:t>
      </w:r>
      <w:r w:rsidR="009477F2" w:rsidRPr="005D3CD5">
        <w:rPr>
          <w:lang w:val="fr-FR"/>
        </w:rPr>
        <w:t>a pas été méconnu</w:t>
      </w:r>
      <w:r w:rsidR="0006720F" w:rsidRPr="005D3CD5">
        <w:rPr>
          <w:lang w:val="fr-FR"/>
        </w:rPr>
        <w:t>.</w:t>
      </w:r>
    </w:p>
    <w:p w:rsidR="00D36DF8" w:rsidRPr="005D3CD5" w:rsidRDefault="00D36DF8"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90</w:t>
      </w:r>
      <w:r w:rsidRPr="005D3CD5">
        <w:rPr>
          <w:lang w:val="fr-FR"/>
        </w:rPr>
        <w:fldChar w:fldCharType="end"/>
      </w:r>
      <w:r w:rsidRPr="005D3CD5">
        <w:rPr>
          <w:lang w:val="fr-FR"/>
        </w:rPr>
        <w:t>.  </w:t>
      </w:r>
      <w:r w:rsidRPr="005D3CD5">
        <w:rPr>
          <w:rStyle w:val="ECHRParaChar"/>
          <w:lang w:val="fr-FR"/>
        </w:rPr>
        <w:t>L</w:t>
      </w:r>
      <w:r w:rsidR="009203CC" w:rsidRPr="005D3CD5">
        <w:rPr>
          <w:rStyle w:val="ECHRParaChar"/>
          <w:lang w:val="fr-FR"/>
        </w:rPr>
        <w:t>e tiers intervenant indique</w:t>
      </w:r>
      <w:r w:rsidR="00E73032" w:rsidRPr="005D3CD5">
        <w:rPr>
          <w:rStyle w:val="ECHRParaChar"/>
          <w:lang w:val="fr-FR"/>
        </w:rPr>
        <w:t xml:space="preserve"> que le droit à </w:t>
      </w:r>
      <w:r w:rsidR="00D52E97" w:rsidRPr="005D3CD5">
        <w:rPr>
          <w:rStyle w:val="ECHRParaChar"/>
          <w:lang w:val="fr-FR"/>
        </w:rPr>
        <w:t>réparation</w:t>
      </w:r>
      <w:r w:rsidR="00E73032" w:rsidRPr="005D3CD5">
        <w:rPr>
          <w:rStyle w:val="ECHRParaChar"/>
          <w:lang w:val="fr-FR"/>
        </w:rPr>
        <w:t xml:space="preserve"> est un principe fondamental du droit international. </w:t>
      </w:r>
      <w:r w:rsidR="009203CC" w:rsidRPr="005D3CD5">
        <w:rPr>
          <w:rStyle w:val="ECHRParaChar"/>
          <w:lang w:val="fr-FR"/>
        </w:rPr>
        <w:t>Il ajoute que, s</w:t>
      </w:r>
      <w:r w:rsidR="00873433" w:rsidRPr="005D3CD5">
        <w:rPr>
          <w:rStyle w:val="ECHRParaChar"/>
          <w:lang w:val="fr-FR"/>
        </w:rPr>
        <w:t xml:space="preserve">elon </w:t>
      </w:r>
      <w:r w:rsidR="00057CAA" w:rsidRPr="005D3CD5">
        <w:rPr>
          <w:rStyle w:val="ECHRParaChar"/>
          <w:lang w:val="fr-FR"/>
        </w:rPr>
        <w:t>l</w:t>
      </w:r>
      <w:r w:rsidR="00B6179F" w:rsidRPr="005D3CD5">
        <w:rPr>
          <w:rStyle w:val="ECHRParaChar"/>
          <w:lang w:val="fr-FR"/>
        </w:rPr>
        <w:t>es « </w:t>
      </w:r>
      <w:r w:rsidR="00057CAA" w:rsidRPr="005D3CD5">
        <w:rPr>
          <w:rStyle w:val="ECHRParaChar"/>
          <w:lang w:val="fr-FR"/>
        </w:rPr>
        <w:t>P</w:t>
      </w:r>
      <w:r w:rsidR="00E73032" w:rsidRPr="005D3CD5">
        <w:rPr>
          <w:rStyle w:val="ECHRParaChar"/>
          <w:lang w:val="fr-FR"/>
        </w:rPr>
        <w:t>rincipes fondamentaux et directives concernant le</w:t>
      </w:r>
      <w:r w:rsidR="00873433" w:rsidRPr="005D3CD5">
        <w:rPr>
          <w:rStyle w:val="ECHRParaChar"/>
          <w:lang w:val="fr-FR"/>
        </w:rPr>
        <w:t xml:space="preserve"> </w:t>
      </w:r>
      <w:r w:rsidR="00E73032" w:rsidRPr="005D3CD5">
        <w:rPr>
          <w:rStyle w:val="ECHRParaChar"/>
          <w:lang w:val="fr-FR"/>
        </w:rPr>
        <w:t>droit à un recours et à réparation des victimes de violations flagrantes du droit international des droits de l</w:t>
      </w:r>
      <w:r w:rsidR="005D3CD5" w:rsidRPr="005D3CD5">
        <w:rPr>
          <w:rStyle w:val="ECHRParaChar"/>
          <w:lang w:val="fr-FR"/>
        </w:rPr>
        <w:t>’</w:t>
      </w:r>
      <w:r w:rsidR="00E73032" w:rsidRPr="005D3CD5">
        <w:rPr>
          <w:rStyle w:val="ECHRParaChar"/>
          <w:lang w:val="fr-FR"/>
        </w:rPr>
        <w:t>homme et de violations graves du droit international humanitaire</w:t>
      </w:r>
      <w:r w:rsidR="00B6179F" w:rsidRPr="005D3CD5">
        <w:rPr>
          <w:rStyle w:val="ECHRParaChar"/>
          <w:lang w:val="fr-FR"/>
        </w:rPr>
        <w:t> »</w:t>
      </w:r>
      <w:r w:rsidR="00057CAA" w:rsidRPr="005D3CD5">
        <w:rPr>
          <w:rStyle w:val="ECHRParaChar"/>
          <w:lang w:val="fr-FR"/>
        </w:rPr>
        <w:t xml:space="preserve"> (résolution </w:t>
      </w:r>
      <w:r w:rsidR="00B6179F" w:rsidRPr="005D3CD5">
        <w:rPr>
          <w:lang w:val="fr-FR"/>
        </w:rPr>
        <w:t>60/147 de l</w:t>
      </w:r>
      <w:r w:rsidR="005D3CD5" w:rsidRPr="005D3CD5">
        <w:rPr>
          <w:lang w:val="fr-FR"/>
        </w:rPr>
        <w:t>’</w:t>
      </w:r>
      <w:r w:rsidR="00B6179F" w:rsidRPr="005D3CD5">
        <w:rPr>
          <w:lang w:val="fr-FR"/>
        </w:rPr>
        <w:t xml:space="preserve">Assemblée générale des Nations unies, </w:t>
      </w:r>
      <w:r w:rsidR="00057CAA" w:rsidRPr="005D3CD5">
        <w:rPr>
          <w:rStyle w:val="ECHRParaChar"/>
          <w:lang w:val="fr-FR"/>
        </w:rPr>
        <w:t>adoptée le 16</w:t>
      </w:r>
      <w:r w:rsidR="00B6179F" w:rsidRPr="005D3CD5">
        <w:rPr>
          <w:rStyle w:val="ECHRParaChar"/>
          <w:lang w:val="fr-FR"/>
        </w:rPr>
        <w:t> </w:t>
      </w:r>
      <w:r w:rsidR="00057CAA" w:rsidRPr="005D3CD5">
        <w:rPr>
          <w:rStyle w:val="ECHRParaChar"/>
          <w:lang w:val="fr-FR"/>
        </w:rPr>
        <w:t>décembre 2005)</w:t>
      </w:r>
      <w:r w:rsidR="00873433" w:rsidRPr="005D3CD5">
        <w:rPr>
          <w:rStyle w:val="ECHRParaChar"/>
          <w:lang w:val="fr-FR"/>
        </w:rPr>
        <w:t xml:space="preserve">, les </w:t>
      </w:r>
      <w:r w:rsidR="009203CC" w:rsidRPr="005D3CD5">
        <w:rPr>
          <w:rStyle w:val="ECHRParaChar"/>
          <w:lang w:val="fr-FR"/>
        </w:rPr>
        <w:t>États</w:t>
      </w:r>
      <w:r w:rsidR="00873433" w:rsidRPr="005D3CD5">
        <w:rPr>
          <w:rStyle w:val="ECHRParaChar"/>
          <w:lang w:val="fr-FR"/>
        </w:rPr>
        <w:t xml:space="preserve"> doivent prévoir une </w:t>
      </w:r>
      <w:r w:rsidR="00873433" w:rsidRPr="005D3CD5">
        <w:rPr>
          <w:lang w:val="fr-FR"/>
        </w:rPr>
        <w:t xml:space="preserve">réparation adéquate, effective et rapide du préjudice subi. </w:t>
      </w:r>
      <w:r w:rsidR="009203CC" w:rsidRPr="005D3CD5">
        <w:rPr>
          <w:lang w:val="fr-FR"/>
        </w:rPr>
        <w:t>Il</w:t>
      </w:r>
      <w:r w:rsidR="00873433" w:rsidRPr="005D3CD5">
        <w:rPr>
          <w:lang w:val="fr-FR"/>
        </w:rPr>
        <w:t xml:space="preserve"> est d</w:t>
      </w:r>
      <w:r w:rsidR="005D3CD5" w:rsidRPr="005D3CD5">
        <w:rPr>
          <w:lang w:val="fr-FR"/>
        </w:rPr>
        <w:t>’</w:t>
      </w:r>
      <w:r w:rsidR="00873433" w:rsidRPr="005D3CD5">
        <w:rPr>
          <w:lang w:val="fr-FR"/>
        </w:rPr>
        <w:t>avis que</w:t>
      </w:r>
      <w:r w:rsidR="009203CC" w:rsidRPr="005D3CD5">
        <w:rPr>
          <w:lang w:val="fr-FR"/>
        </w:rPr>
        <w:t>,</w:t>
      </w:r>
      <w:r w:rsidR="00873433" w:rsidRPr="005D3CD5">
        <w:rPr>
          <w:lang w:val="fr-FR"/>
        </w:rPr>
        <w:t xml:space="preserve"> pour respecter l</w:t>
      </w:r>
      <w:r w:rsidR="005D3CD5" w:rsidRPr="005D3CD5">
        <w:rPr>
          <w:lang w:val="fr-FR"/>
        </w:rPr>
        <w:t>’</w:t>
      </w:r>
      <w:r w:rsidR="00873433" w:rsidRPr="005D3CD5">
        <w:rPr>
          <w:lang w:val="fr-FR"/>
        </w:rPr>
        <w:t>article</w:t>
      </w:r>
      <w:r w:rsidR="009203CC" w:rsidRPr="005D3CD5">
        <w:rPr>
          <w:lang w:val="fr-FR"/>
        </w:rPr>
        <w:t> </w:t>
      </w:r>
      <w:r w:rsidR="00873433" w:rsidRPr="005D3CD5">
        <w:rPr>
          <w:lang w:val="fr-FR"/>
        </w:rPr>
        <w:t>5 §</w:t>
      </w:r>
      <w:r w:rsidR="00D52E97" w:rsidRPr="005D3CD5">
        <w:rPr>
          <w:lang w:val="fr-FR"/>
        </w:rPr>
        <w:t xml:space="preserve"> </w:t>
      </w:r>
      <w:r w:rsidR="00873433" w:rsidRPr="005D3CD5">
        <w:rPr>
          <w:lang w:val="fr-FR"/>
        </w:rPr>
        <w:t>5</w:t>
      </w:r>
      <w:r w:rsidR="009203CC" w:rsidRPr="005D3CD5">
        <w:rPr>
          <w:lang w:val="fr-FR"/>
        </w:rPr>
        <w:t xml:space="preserve"> de la Convention</w:t>
      </w:r>
      <w:r w:rsidR="00873433" w:rsidRPr="005D3CD5">
        <w:rPr>
          <w:lang w:val="fr-FR"/>
        </w:rPr>
        <w:t>, le</w:t>
      </w:r>
      <w:r w:rsidR="009203CC" w:rsidRPr="005D3CD5">
        <w:rPr>
          <w:lang w:val="fr-FR"/>
        </w:rPr>
        <w:t>s États</w:t>
      </w:r>
      <w:r w:rsidR="00873433" w:rsidRPr="005D3CD5">
        <w:rPr>
          <w:lang w:val="fr-FR"/>
        </w:rPr>
        <w:t xml:space="preserve"> doivent prévoir des procédures appropriées et efficaces qui garantissent la </w:t>
      </w:r>
      <w:r w:rsidR="008A45EA" w:rsidRPr="005D3CD5">
        <w:rPr>
          <w:lang w:val="fr-FR"/>
        </w:rPr>
        <w:t>réparation e</w:t>
      </w:r>
      <w:r w:rsidR="00873433" w:rsidRPr="005D3CD5">
        <w:rPr>
          <w:lang w:val="fr-FR"/>
        </w:rPr>
        <w:t xml:space="preserve">n cas de détention </w:t>
      </w:r>
      <w:r w:rsidR="00D52E97" w:rsidRPr="005D3CD5">
        <w:rPr>
          <w:lang w:val="fr-FR"/>
        </w:rPr>
        <w:t>illégale</w:t>
      </w:r>
      <w:r w:rsidR="00873433" w:rsidRPr="005D3CD5">
        <w:rPr>
          <w:lang w:val="fr-FR"/>
        </w:rPr>
        <w:t xml:space="preserve"> ou arbitraire</w:t>
      </w:r>
      <w:r w:rsidR="00D52E97" w:rsidRPr="005D3CD5">
        <w:rPr>
          <w:lang w:val="fr-FR"/>
        </w:rPr>
        <w:t>. C</w:t>
      </w:r>
      <w:r w:rsidR="008A45EA" w:rsidRPr="005D3CD5">
        <w:rPr>
          <w:lang w:val="fr-FR"/>
        </w:rPr>
        <w:t>ette obligation concerne</w:t>
      </w:r>
      <w:r w:rsidR="009203CC" w:rsidRPr="005D3CD5">
        <w:rPr>
          <w:lang w:val="fr-FR"/>
        </w:rPr>
        <w:t>rait</w:t>
      </w:r>
      <w:r w:rsidR="008A45EA" w:rsidRPr="005D3CD5">
        <w:rPr>
          <w:lang w:val="fr-FR"/>
        </w:rPr>
        <w:t xml:space="preserve"> toute détention </w:t>
      </w:r>
      <w:r w:rsidR="009203CC" w:rsidRPr="005D3CD5">
        <w:rPr>
          <w:lang w:val="fr-FR"/>
        </w:rPr>
        <w:t>contraire au</w:t>
      </w:r>
      <w:r w:rsidR="008A45EA" w:rsidRPr="005D3CD5">
        <w:rPr>
          <w:lang w:val="fr-FR"/>
        </w:rPr>
        <w:t xml:space="preserve"> droit national ou </w:t>
      </w:r>
      <w:r w:rsidR="009203CC" w:rsidRPr="005D3CD5">
        <w:rPr>
          <w:lang w:val="fr-FR"/>
        </w:rPr>
        <w:t xml:space="preserve">au droit </w:t>
      </w:r>
      <w:r w:rsidR="008A45EA" w:rsidRPr="005D3CD5">
        <w:rPr>
          <w:lang w:val="fr-FR"/>
        </w:rPr>
        <w:t>d</w:t>
      </w:r>
      <w:r w:rsidR="005D3CD5" w:rsidRPr="005D3CD5">
        <w:rPr>
          <w:lang w:val="fr-FR"/>
        </w:rPr>
        <w:t>’</w:t>
      </w:r>
      <w:r w:rsidR="008A45EA" w:rsidRPr="005D3CD5">
        <w:rPr>
          <w:lang w:val="fr-FR"/>
        </w:rPr>
        <w:t xml:space="preserve">un autre </w:t>
      </w:r>
      <w:r w:rsidR="009203CC" w:rsidRPr="005D3CD5">
        <w:rPr>
          <w:rFonts w:cstheme="minorHAnsi"/>
          <w:lang w:val="fr-FR"/>
        </w:rPr>
        <w:t>É</w:t>
      </w:r>
      <w:r w:rsidR="008A45EA" w:rsidRPr="005D3CD5">
        <w:rPr>
          <w:lang w:val="fr-FR"/>
        </w:rPr>
        <w:t>tat membre de l</w:t>
      </w:r>
      <w:r w:rsidR="005D3CD5" w:rsidRPr="005D3CD5">
        <w:rPr>
          <w:lang w:val="fr-FR"/>
        </w:rPr>
        <w:t>’</w:t>
      </w:r>
      <w:r w:rsidR="008A45EA" w:rsidRPr="005D3CD5">
        <w:rPr>
          <w:lang w:val="fr-FR"/>
        </w:rPr>
        <w:t xml:space="preserve">Union </w:t>
      </w:r>
      <w:r w:rsidR="009203CC" w:rsidRPr="005D3CD5">
        <w:rPr>
          <w:lang w:val="fr-FR"/>
        </w:rPr>
        <w:t>e</w:t>
      </w:r>
      <w:r w:rsidR="008A45EA" w:rsidRPr="005D3CD5">
        <w:rPr>
          <w:lang w:val="fr-FR"/>
        </w:rPr>
        <w:t>uropéenne. Pour</w:t>
      </w:r>
      <w:r w:rsidR="00D52E97" w:rsidRPr="005D3CD5">
        <w:rPr>
          <w:lang w:val="fr-FR"/>
        </w:rPr>
        <w:t xml:space="preserve"> </w:t>
      </w:r>
      <w:r w:rsidR="00873433" w:rsidRPr="005D3CD5">
        <w:rPr>
          <w:lang w:val="fr-FR"/>
        </w:rPr>
        <w:t>être effective</w:t>
      </w:r>
      <w:r w:rsidR="009203CC" w:rsidRPr="005D3CD5">
        <w:rPr>
          <w:lang w:val="fr-FR"/>
        </w:rPr>
        <w:t>,</w:t>
      </w:r>
      <w:r w:rsidR="00873433" w:rsidRPr="005D3CD5">
        <w:rPr>
          <w:lang w:val="fr-FR"/>
        </w:rPr>
        <w:t xml:space="preserve"> cette procédure </w:t>
      </w:r>
      <w:r w:rsidR="009203CC" w:rsidRPr="005D3CD5">
        <w:rPr>
          <w:lang w:val="fr-FR"/>
        </w:rPr>
        <w:t>devrait</w:t>
      </w:r>
      <w:r w:rsidR="00873433" w:rsidRPr="005D3CD5">
        <w:rPr>
          <w:lang w:val="fr-FR"/>
        </w:rPr>
        <w:t xml:space="preserve"> être</w:t>
      </w:r>
      <w:r w:rsidR="008A45EA" w:rsidRPr="005D3CD5">
        <w:rPr>
          <w:lang w:val="fr-FR"/>
        </w:rPr>
        <w:t xml:space="preserve"> judic</w:t>
      </w:r>
      <w:r w:rsidR="00D52E97" w:rsidRPr="005D3CD5">
        <w:rPr>
          <w:lang w:val="fr-FR"/>
        </w:rPr>
        <w:t>i</w:t>
      </w:r>
      <w:r w:rsidR="008A45EA" w:rsidRPr="005D3CD5">
        <w:rPr>
          <w:lang w:val="fr-FR"/>
        </w:rPr>
        <w:t xml:space="preserve">aire et accessible aux détenus et </w:t>
      </w:r>
      <w:r w:rsidR="009203CC" w:rsidRPr="005D3CD5">
        <w:rPr>
          <w:lang w:val="fr-FR"/>
        </w:rPr>
        <w:t xml:space="preserve">à </w:t>
      </w:r>
      <w:r w:rsidR="008A45EA" w:rsidRPr="005D3CD5">
        <w:rPr>
          <w:lang w:val="fr-FR"/>
        </w:rPr>
        <w:t>leurs avocats.</w:t>
      </w:r>
    </w:p>
    <w:p w:rsidR="0006720F" w:rsidRPr="005D3CD5" w:rsidRDefault="0006720F" w:rsidP="005D3CD5">
      <w:pPr>
        <w:pStyle w:val="ECHRHeading3"/>
        <w:rPr>
          <w:rStyle w:val="ECHRParaChar"/>
          <w:lang w:val="fr-FR"/>
        </w:rPr>
      </w:pPr>
      <w:r w:rsidRPr="005D3CD5">
        <w:rPr>
          <w:lang w:val="fr-FR"/>
        </w:rPr>
        <w:t>2.</w:t>
      </w:r>
      <w:r w:rsidR="00BD564A" w:rsidRPr="005D3CD5">
        <w:rPr>
          <w:lang w:val="fr-FR"/>
        </w:rPr>
        <w:t>  </w:t>
      </w:r>
      <w:r w:rsidRPr="005D3CD5">
        <w:rPr>
          <w:lang w:val="fr-FR"/>
        </w:rPr>
        <w:t>Appréciation de la Cour</w:t>
      </w:r>
    </w:p>
    <w:p w:rsidR="00D36DF8" w:rsidRPr="005D3CD5" w:rsidRDefault="009F0907"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91</w:t>
      </w:r>
      <w:r w:rsidRPr="005D3CD5">
        <w:rPr>
          <w:rFonts w:eastAsia="Times New Roman"/>
          <w:lang w:val="fr-FR"/>
        </w:rPr>
        <w:fldChar w:fldCharType="end"/>
      </w:r>
      <w:r w:rsidRPr="005D3CD5">
        <w:rPr>
          <w:rFonts w:eastAsia="Times New Roman"/>
          <w:lang w:val="fr-FR"/>
        </w:rPr>
        <w:t>.  </w:t>
      </w:r>
      <w:r w:rsidR="00D36DF8" w:rsidRPr="005D3CD5">
        <w:rPr>
          <w:rFonts w:eastAsia="Times New Roman"/>
          <w:lang w:val="fr-FR"/>
        </w:rPr>
        <w:t>La Cour rappelle que le paragraphe 5 de l</w:t>
      </w:r>
      <w:r w:rsidR="005D3CD5" w:rsidRPr="005D3CD5">
        <w:rPr>
          <w:rFonts w:eastAsia="Times New Roman"/>
          <w:lang w:val="fr-FR"/>
        </w:rPr>
        <w:t>’</w:t>
      </w:r>
      <w:r w:rsidR="00D36DF8" w:rsidRPr="005D3CD5">
        <w:rPr>
          <w:rFonts w:eastAsia="Times New Roman"/>
          <w:lang w:val="fr-FR"/>
        </w:rPr>
        <w:t xml:space="preserve">article </w:t>
      </w:r>
      <w:r w:rsidR="009203CC" w:rsidRPr="005D3CD5">
        <w:rPr>
          <w:rFonts w:eastAsia="Times New Roman"/>
          <w:lang w:val="fr-FR"/>
        </w:rPr>
        <w:t>5 de la</w:t>
      </w:r>
      <w:r w:rsidR="00EA3B89" w:rsidRPr="005D3CD5">
        <w:rPr>
          <w:rFonts w:eastAsia="Times New Roman"/>
          <w:lang w:val="fr-FR"/>
        </w:rPr>
        <w:t xml:space="preserve"> Convention </w:t>
      </w:r>
      <w:r w:rsidR="00D36DF8" w:rsidRPr="005D3CD5">
        <w:rPr>
          <w:rFonts w:eastAsia="Times New Roman"/>
          <w:lang w:val="fr-FR"/>
        </w:rPr>
        <w:t>se trouve respecté dès lors que l</w:t>
      </w:r>
      <w:r w:rsidR="005D3CD5" w:rsidRPr="005D3CD5">
        <w:rPr>
          <w:rFonts w:eastAsia="Times New Roman"/>
          <w:lang w:val="fr-FR"/>
        </w:rPr>
        <w:t>’</w:t>
      </w:r>
      <w:r w:rsidR="00D36DF8" w:rsidRPr="005D3CD5">
        <w:rPr>
          <w:rFonts w:eastAsia="Times New Roman"/>
          <w:lang w:val="fr-FR"/>
        </w:rPr>
        <w:t>on peut demander réparation du chef d</w:t>
      </w:r>
      <w:r w:rsidR="005D3CD5" w:rsidRPr="005D3CD5">
        <w:rPr>
          <w:rFonts w:eastAsia="Times New Roman"/>
          <w:lang w:val="fr-FR"/>
        </w:rPr>
        <w:t>’</w:t>
      </w:r>
      <w:r w:rsidR="00D36DF8" w:rsidRPr="005D3CD5">
        <w:rPr>
          <w:rFonts w:eastAsia="Times New Roman"/>
          <w:lang w:val="fr-FR"/>
        </w:rPr>
        <w:t xml:space="preserve">une privation de liberté opérée dans des conditions contraires aux paragraphes 1, 2, 3 ou 4 </w:t>
      </w:r>
      <w:r w:rsidR="007C34D2" w:rsidRPr="005D3CD5">
        <w:rPr>
          <w:rFonts w:eastAsia="Times New Roman"/>
          <w:lang w:val="fr-FR"/>
        </w:rPr>
        <w:t xml:space="preserve">du même article </w:t>
      </w:r>
      <w:r w:rsidR="00D36DF8" w:rsidRPr="005D3CD5">
        <w:rPr>
          <w:rFonts w:eastAsia="Times New Roman"/>
          <w:lang w:val="fr-FR"/>
        </w:rPr>
        <w:t>(</w:t>
      </w:r>
      <w:r w:rsidR="00D36DF8" w:rsidRPr="005D3CD5">
        <w:rPr>
          <w:rFonts w:eastAsia="Times New Roman"/>
          <w:i/>
          <w:lang w:val="fr-FR"/>
        </w:rPr>
        <w:t>Wassink c. Pays-Bas</w:t>
      </w:r>
      <w:r w:rsidR="00D36DF8" w:rsidRPr="005D3CD5">
        <w:rPr>
          <w:rFonts w:eastAsia="Times New Roman"/>
          <w:lang w:val="fr-FR"/>
        </w:rPr>
        <w:t>, 27 septembre 1990, § 38, série A n</w:t>
      </w:r>
      <w:r w:rsidR="00D36DF8" w:rsidRPr="005D3CD5">
        <w:rPr>
          <w:rFonts w:eastAsia="Times New Roman"/>
          <w:vertAlign w:val="superscript"/>
          <w:lang w:val="fr-FR"/>
        </w:rPr>
        <w:t xml:space="preserve">o </w:t>
      </w:r>
      <w:r w:rsidR="00D36DF8" w:rsidRPr="005D3CD5">
        <w:rPr>
          <w:rFonts w:eastAsia="Times New Roman"/>
          <w:lang w:val="fr-FR"/>
        </w:rPr>
        <w:t>185</w:t>
      </w:r>
      <w:r w:rsidR="00EA3B89" w:rsidRPr="005D3CD5">
        <w:rPr>
          <w:rFonts w:eastAsia="Times New Roman"/>
          <w:lang w:val="fr-FR"/>
        </w:rPr>
        <w:noBreakHyphen/>
      </w:r>
      <w:r w:rsidR="00D36DF8" w:rsidRPr="005D3CD5">
        <w:rPr>
          <w:rFonts w:eastAsia="Times New Roman"/>
          <w:lang w:val="fr-FR"/>
        </w:rPr>
        <w:t xml:space="preserve">A). Le droit à réparation énoncé au paragraphe 5 </w:t>
      </w:r>
      <w:r w:rsidR="00EA3B89" w:rsidRPr="005D3CD5">
        <w:rPr>
          <w:rFonts w:eastAsia="Times New Roman"/>
          <w:lang w:val="fr-FR"/>
        </w:rPr>
        <w:t xml:space="preserve">précité </w:t>
      </w:r>
      <w:r w:rsidR="00D36DF8" w:rsidRPr="005D3CD5">
        <w:rPr>
          <w:rFonts w:eastAsia="Times New Roman"/>
          <w:lang w:val="fr-FR"/>
        </w:rPr>
        <w:t>suppose donc qu</w:t>
      </w:r>
      <w:r w:rsidR="005D3CD5" w:rsidRPr="005D3CD5">
        <w:rPr>
          <w:rFonts w:eastAsia="Times New Roman"/>
          <w:lang w:val="fr-FR"/>
        </w:rPr>
        <w:t>’</w:t>
      </w:r>
      <w:r w:rsidR="00D36DF8" w:rsidRPr="005D3CD5">
        <w:rPr>
          <w:rFonts w:eastAsia="Times New Roman"/>
          <w:lang w:val="fr-FR"/>
        </w:rPr>
        <w:t>une violation de l</w:t>
      </w:r>
      <w:r w:rsidR="005D3CD5" w:rsidRPr="005D3CD5">
        <w:rPr>
          <w:rFonts w:eastAsia="Times New Roman"/>
          <w:lang w:val="fr-FR"/>
        </w:rPr>
        <w:t>’</w:t>
      </w:r>
      <w:r w:rsidR="00D36DF8" w:rsidRPr="005D3CD5">
        <w:rPr>
          <w:rFonts w:eastAsia="Times New Roman"/>
          <w:lang w:val="fr-FR"/>
        </w:rPr>
        <w:t>un de ces autres paragraphes ait été établie par une autorité nationale ou par les institutions de la Convention (</w:t>
      </w:r>
      <w:r w:rsidR="00D36DF8" w:rsidRPr="005D3CD5">
        <w:rPr>
          <w:rFonts w:eastAsia="Times New Roman"/>
          <w:i/>
          <w:lang w:val="fr-FR"/>
        </w:rPr>
        <w:t>N.C. c. Italie</w:t>
      </w:r>
      <w:r w:rsidR="00D36DF8" w:rsidRPr="005D3CD5">
        <w:rPr>
          <w:rFonts w:eastAsia="Times New Roman"/>
          <w:lang w:val="fr-FR"/>
        </w:rPr>
        <w:t xml:space="preserve"> [GC], n</w:t>
      </w:r>
      <w:r w:rsidR="00D36DF8" w:rsidRPr="005D3CD5">
        <w:rPr>
          <w:rFonts w:eastAsia="Times New Roman"/>
          <w:vertAlign w:val="superscript"/>
          <w:lang w:val="fr-FR"/>
        </w:rPr>
        <w:t>o</w:t>
      </w:r>
      <w:r w:rsidR="00EA3B89" w:rsidRPr="005D3CD5">
        <w:rPr>
          <w:rFonts w:eastAsia="Times New Roman"/>
          <w:vertAlign w:val="superscript"/>
          <w:lang w:val="fr-FR"/>
        </w:rPr>
        <w:t> </w:t>
      </w:r>
      <w:hyperlink r:id="rId15" w:anchor="{&quot;appno&quot;:[&quot;24952/94&quot;]}" w:tgtFrame="_blank" w:history="1">
        <w:r w:rsidR="00D36DF8" w:rsidRPr="005D3CD5">
          <w:rPr>
            <w:rFonts w:eastAsia="Times New Roman"/>
            <w:lang w:val="fr-FR"/>
          </w:rPr>
          <w:t>24952/94</w:t>
        </w:r>
      </w:hyperlink>
      <w:r w:rsidR="00D36DF8" w:rsidRPr="005D3CD5">
        <w:rPr>
          <w:rFonts w:eastAsia="Times New Roman"/>
          <w:lang w:val="fr-FR"/>
        </w:rPr>
        <w:t xml:space="preserve">, § 49 </w:t>
      </w:r>
      <w:r w:rsidR="00D36DF8" w:rsidRPr="005D3CD5">
        <w:rPr>
          <w:rFonts w:eastAsia="Times New Roman"/>
          <w:i/>
          <w:lang w:val="fr-FR"/>
        </w:rPr>
        <w:t>in fine</w:t>
      </w:r>
      <w:r w:rsidR="00D36DF8" w:rsidRPr="005D3CD5">
        <w:rPr>
          <w:rFonts w:eastAsia="Times New Roman"/>
          <w:lang w:val="fr-FR"/>
        </w:rPr>
        <w:t>, CEDH 2002-X).</w:t>
      </w:r>
    </w:p>
    <w:p w:rsidR="00D36DF8" w:rsidRPr="005D3CD5" w:rsidRDefault="009F0907" w:rsidP="005D3CD5">
      <w:pPr>
        <w:pStyle w:val="ECHRPara"/>
        <w:rPr>
          <w:rFonts w:eastAsia="Times New Roman"/>
          <w:lang w:val="fr-FR"/>
        </w:rPr>
      </w:pPr>
      <w:r w:rsidRPr="005D3CD5">
        <w:rPr>
          <w:rFonts w:eastAsia="Times New Roman"/>
          <w:lang w:val="fr-FR"/>
        </w:rPr>
        <w:lastRenderedPageBreak/>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92</w:t>
      </w:r>
      <w:r w:rsidRPr="005D3CD5">
        <w:rPr>
          <w:rFonts w:eastAsia="Times New Roman"/>
          <w:lang w:val="fr-FR"/>
        </w:rPr>
        <w:fldChar w:fldCharType="end"/>
      </w:r>
      <w:r w:rsidRPr="005D3CD5">
        <w:rPr>
          <w:rFonts w:eastAsia="Times New Roman"/>
          <w:lang w:val="fr-FR"/>
        </w:rPr>
        <w:t>.  </w:t>
      </w:r>
      <w:r w:rsidR="00571B22" w:rsidRPr="005D3CD5">
        <w:rPr>
          <w:rFonts w:eastAsia="Times New Roman"/>
          <w:lang w:val="fr-FR"/>
        </w:rPr>
        <w:t>En l</w:t>
      </w:r>
      <w:r w:rsidR="005D3CD5" w:rsidRPr="005D3CD5">
        <w:rPr>
          <w:rFonts w:eastAsia="Times New Roman"/>
          <w:lang w:val="fr-FR"/>
        </w:rPr>
        <w:t>’</w:t>
      </w:r>
      <w:r w:rsidR="00571B22" w:rsidRPr="005D3CD5">
        <w:rPr>
          <w:rFonts w:eastAsia="Times New Roman"/>
          <w:lang w:val="fr-FR"/>
        </w:rPr>
        <w:t>espèce, l</w:t>
      </w:r>
      <w:r w:rsidR="00D36DF8" w:rsidRPr="005D3CD5">
        <w:rPr>
          <w:rFonts w:eastAsia="Times New Roman"/>
          <w:lang w:val="fr-FR"/>
        </w:rPr>
        <w:t xml:space="preserve">a Cour vient de constater </w:t>
      </w:r>
      <w:r w:rsidR="00984EBF" w:rsidRPr="005D3CD5">
        <w:rPr>
          <w:rFonts w:eastAsia="Times New Roman"/>
          <w:lang w:val="fr-FR"/>
        </w:rPr>
        <w:t xml:space="preserve">que la </w:t>
      </w:r>
      <w:r w:rsidR="00423078" w:rsidRPr="005D3CD5">
        <w:rPr>
          <w:rFonts w:eastAsia="Times New Roman"/>
          <w:lang w:val="fr-FR"/>
        </w:rPr>
        <w:t xml:space="preserve">prolongation de la </w:t>
      </w:r>
      <w:r w:rsidR="00984EBF" w:rsidRPr="005D3CD5">
        <w:rPr>
          <w:rFonts w:eastAsia="Times New Roman"/>
          <w:lang w:val="fr-FR"/>
        </w:rPr>
        <w:t>détention des requérants</w:t>
      </w:r>
      <w:r w:rsidR="00D36DF8" w:rsidRPr="005D3CD5">
        <w:rPr>
          <w:rFonts w:eastAsia="Times New Roman"/>
          <w:lang w:val="fr-FR"/>
        </w:rPr>
        <w:t xml:space="preserve"> a été irrégulière (paragraphe</w:t>
      </w:r>
      <w:r w:rsidR="00121C13" w:rsidRPr="005D3CD5">
        <w:rPr>
          <w:rFonts w:eastAsia="Times New Roman"/>
          <w:lang w:val="fr-FR"/>
        </w:rPr>
        <w:t>s 79-</w:t>
      </w:r>
      <w:r w:rsidR="007E61D4" w:rsidRPr="005D3CD5">
        <w:rPr>
          <w:rFonts w:ascii="Times New Roman" w:eastAsia="Times New Roman" w:hAnsi="Times New Roman" w:cs="Times New Roman"/>
          <w:noProof/>
          <w:szCs w:val="24"/>
          <w:lang w:val="fr-FR"/>
        </w:rPr>
        <w:t>78</w:t>
      </w:r>
      <w:r w:rsidR="00D36DF8" w:rsidRPr="005D3CD5">
        <w:rPr>
          <w:rFonts w:eastAsia="Times New Roman"/>
          <w:lang w:val="fr-FR"/>
        </w:rPr>
        <w:t xml:space="preserve"> ci-dessus) et que la C</w:t>
      </w:r>
      <w:r w:rsidR="00571B22" w:rsidRPr="005D3CD5">
        <w:rPr>
          <w:rFonts w:eastAsia="Times New Roman"/>
          <w:lang w:val="fr-FR"/>
        </w:rPr>
        <w:t>our de c</w:t>
      </w:r>
      <w:r w:rsidR="00D36DF8" w:rsidRPr="005D3CD5">
        <w:rPr>
          <w:rFonts w:eastAsia="Times New Roman"/>
          <w:lang w:val="fr-FR"/>
        </w:rPr>
        <w:t xml:space="preserve">assation </w:t>
      </w:r>
      <w:r w:rsidR="00571B22" w:rsidRPr="005D3CD5">
        <w:rPr>
          <w:rFonts w:eastAsia="Times New Roman"/>
          <w:lang w:val="fr-FR"/>
        </w:rPr>
        <w:t xml:space="preserve">a </w:t>
      </w:r>
      <w:r w:rsidR="00D36DF8" w:rsidRPr="005D3CD5">
        <w:rPr>
          <w:rFonts w:eastAsia="Times New Roman"/>
          <w:lang w:val="fr-FR"/>
        </w:rPr>
        <w:t>reconn</w:t>
      </w:r>
      <w:r w:rsidR="00571B22" w:rsidRPr="005D3CD5">
        <w:rPr>
          <w:rFonts w:eastAsia="Times New Roman"/>
          <w:lang w:val="fr-FR"/>
        </w:rPr>
        <w:t>u</w:t>
      </w:r>
      <w:r w:rsidR="00D36DF8" w:rsidRPr="005D3CD5">
        <w:rPr>
          <w:rFonts w:eastAsia="Times New Roman"/>
          <w:lang w:val="fr-FR"/>
        </w:rPr>
        <w:t xml:space="preserve"> </w:t>
      </w:r>
      <w:r w:rsidR="00D85308" w:rsidRPr="005D3CD5">
        <w:rPr>
          <w:rFonts w:eastAsia="Times New Roman"/>
          <w:lang w:val="fr-FR"/>
        </w:rPr>
        <w:t xml:space="preserve">la nullité </w:t>
      </w:r>
      <w:r w:rsidR="00D36DF8" w:rsidRPr="005D3CD5">
        <w:rPr>
          <w:rFonts w:eastAsia="Times New Roman"/>
          <w:lang w:val="fr-FR"/>
        </w:rPr>
        <w:t>de la</w:t>
      </w:r>
      <w:r w:rsidR="00423078" w:rsidRPr="005D3CD5">
        <w:rPr>
          <w:rFonts w:eastAsia="Times New Roman"/>
          <w:lang w:val="fr-FR"/>
        </w:rPr>
        <w:t xml:space="preserve">dite </w:t>
      </w:r>
      <w:r w:rsidR="00BB6DE6" w:rsidRPr="005D3CD5">
        <w:rPr>
          <w:rFonts w:eastAsia="Times New Roman"/>
          <w:lang w:val="fr-FR"/>
        </w:rPr>
        <w:t xml:space="preserve">prolongation </w:t>
      </w:r>
      <w:r w:rsidR="00D36DF8" w:rsidRPr="005D3CD5">
        <w:rPr>
          <w:rFonts w:eastAsia="Times New Roman"/>
          <w:lang w:val="fr-FR"/>
        </w:rPr>
        <w:t xml:space="preserve">(paragraphe </w:t>
      </w:r>
      <w:r w:rsidR="007E61D4" w:rsidRPr="005D3CD5">
        <w:rPr>
          <w:rFonts w:eastAsia="Times New Roman"/>
          <w:noProof/>
          <w:lang w:val="fr-FR"/>
        </w:rPr>
        <w:t>16</w:t>
      </w:r>
      <w:r w:rsidR="00D36DF8" w:rsidRPr="005D3CD5">
        <w:rPr>
          <w:rFonts w:eastAsia="Times New Roman"/>
          <w:lang w:val="fr-FR"/>
        </w:rPr>
        <w:t xml:space="preserve"> ci-dessus). Par conséquent, il y a lieu d</w:t>
      </w:r>
      <w:r w:rsidR="005D3CD5" w:rsidRPr="005D3CD5">
        <w:rPr>
          <w:rFonts w:eastAsia="Times New Roman"/>
          <w:lang w:val="fr-FR"/>
        </w:rPr>
        <w:t>’</w:t>
      </w:r>
      <w:r w:rsidR="00D36DF8" w:rsidRPr="005D3CD5">
        <w:rPr>
          <w:rFonts w:eastAsia="Times New Roman"/>
          <w:lang w:val="fr-FR"/>
        </w:rPr>
        <w:t>examiner la question de savoir si les requérants disposai</w:t>
      </w:r>
      <w:r w:rsidR="005D5B92" w:rsidRPr="005D3CD5">
        <w:rPr>
          <w:rFonts w:eastAsia="Times New Roman"/>
          <w:lang w:val="fr-FR"/>
        </w:rPr>
        <w:t>en</w:t>
      </w:r>
      <w:r w:rsidR="00D36DF8" w:rsidRPr="005D3CD5">
        <w:rPr>
          <w:rFonts w:eastAsia="Times New Roman"/>
          <w:lang w:val="fr-FR"/>
        </w:rPr>
        <w:t>t en droit italien d</w:t>
      </w:r>
      <w:r w:rsidR="005D3CD5" w:rsidRPr="005D3CD5">
        <w:rPr>
          <w:rFonts w:eastAsia="Times New Roman"/>
          <w:lang w:val="fr-FR"/>
        </w:rPr>
        <w:t>’</w:t>
      </w:r>
      <w:r w:rsidR="00D36DF8" w:rsidRPr="005D3CD5">
        <w:rPr>
          <w:rFonts w:eastAsia="Times New Roman"/>
          <w:lang w:val="fr-FR"/>
        </w:rPr>
        <w:t xml:space="preserve">un </w:t>
      </w:r>
      <w:r w:rsidR="00571B22" w:rsidRPr="005D3CD5">
        <w:rPr>
          <w:rFonts w:eastAsia="Times New Roman"/>
          <w:lang w:val="fr-FR"/>
        </w:rPr>
        <w:t>droit à réparation</w:t>
      </w:r>
      <w:r w:rsidR="00D36DF8" w:rsidRPr="005D3CD5">
        <w:rPr>
          <w:rFonts w:eastAsia="Times New Roman"/>
          <w:lang w:val="fr-FR"/>
        </w:rPr>
        <w:t>, au sens de l</w:t>
      </w:r>
      <w:r w:rsidR="005D3CD5" w:rsidRPr="005D3CD5">
        <w:rPr>
          <w:rFonts w:eastAsia="Times New Roman"/>
          <w:lang w:val="fr-FR"/>
        </w:rPr>
        <w:t>’</w:t>
      </w:r>
      <w:r w:rsidR="00D36DF8" w:rsidRPr="005D3CD5">
        <w:rPr>
          <w:rFonts w:eastAsia="Times New Roman"/>
          <w:lang w:val="fr-FR"/>
        </w:rPr>
        <w:t>article 5 § 5 de la Convention.</w:t>
      </w:r>
    </w:p>
    <w:p w:rsidR="00021874" w:rsidRPr="005D3CD5" w:rsidRDefault="009F0907"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93</w:t>
      </w:r>
      <w:r w:rsidRPr="005D3CD5">
        <w:rPr>
          <w:rFonts w:eastAsia="Times New Roman"/>
          <w:lang w:val="fr-FR"/>
        </w:rPr>
        <w:fldChar w:fldCharType="end"/>
      </w:r>
      <w:r w:rsidRPr="005D3CD5">
        <w:rPr>
          <w:rFonts w:eastAsia="Times New Roman"/>
          <w:lang w:val="fr-FR"/>
        </w:rPr>
        <w:t>.  </w:t>
      </w:r>
      <w:r w:rsidR="00021874" w:rsidRPr="005D3CD5">
        <w:rPr>
          <w:rFonts w:eastAsia="Times New Roman"/>
          <w:lang w:val="fr-FR"/>
        </w:rPr>
        <w:t>La Cour observe que l</w:t>
      </w:r>
      <w:r w:rsidR="005D3CD5" w:rsidRPr="005D3CD5">
        <w:rPr>
          <w:rFonts w:eastAsia="Times New Roman"/>
          <w:lang w:val="fr-FR"/>
        </w:rPr>
        <w:t>’</w:t>
      </w:r>
      <w:r w:rsidR="00021874" w:rsidRPr="005D3CD5">
        <w:rPr>
          <w:rFonts w:eastAsia="Times New Roman"/>
          <w:lang w:val="fr-FR"/>
        </w:rPr>
        <w:t xml:space="preserve">article 314 du </w:t>
      </w:r>
      <w:r w:rsidR="00571B22" w:rsidRPr="005D3CD5">
        <w:rPr>
          <w:rFonts w:eastAsia="Times New Roman"/>
          <w:lang w:val="fr-FR"/>
        </w:rPr>
        <w:t>CPP,</w:t>
      </w:r>
      <w:r w:rsidR="00021874" w:rsidRPr="005D3CD5">
        <w:rPr>
          <w:rFonts w:eastAsia="Times New Roman"/>
          <w:lang w:val="fr-FR"/>
        </w:rPr>
        <w:t xml:space="preserve"> qui est censé fournir un remède </w:t>
      </w:r>
      <w:r w:rsidR="00571B22" w:rsidRPr="005D3CD5">
        <w:rPr>
          <w:rFonts w:eastAsia="Times New Roman"/>
          <w:lang w:val="fr-FR"/>
        </w:rPr>
        <w:t>en</w:t>
      </w:r>
      <w:r w:rsidR="00021874" w:rsidRPr="005D3CD5">
        <w:rPr>
          <w:rFonts w:eastAsia="Times New Roman"/>
          <w:lang w:val="fr-FR"/>
        </w:rPr>
        <w:t xml:space="preserve"> cas de privation de liberté</w:t>
      </w:r>
      <w:r w:rsidR="00571B22" w:rsidRPr="005D3CD5">
        <w:rPr>
          <w:rFonts w:eastAsia="Times New Roman"/>
          <w:lang w:val="fr-FR"/>
        </w:rPr>
        <w:t xml:space="preserve"> </w:t>
      </w:r>
      <w:r w:rsidR="00EB04D8" w:rsidRPr="005D3CD5">
        <w:rPr>
          <w:rFonts w:eastAsia="Times New Roman"/>
          <w:lang w:val="fr-FR"/>
        </w:rPr>
        <w:t>« </w:t>
      </w:r>
      <w:r w:rsidR="00571B22" w:rsidRPr="005D3CD5">
        <w:rPr>
          <w:rFonts w:eastAsia="Times New Roman"/>
          <w:lang w:val="fr-FR"/>
        </w:rPr>
        <w:t>injuste</w:t>
      </w:r>
      <w:r w:rsidR="00EB04D8" w:rsidRPr="005D3CD5">
        <w:rPr>
          <w:rFonts w:eastAsia="Times New Roman"/>
          <w:lang w:val="fr-FR"/>
        </w:rPr>
        <w:t> »</w:t>
      </w:r>
      <w:r w:rsidR="00571B22" w:rsidRPr="005D3CD5">
        <w:rPr>
          <w:rFonts w:eastAsia="Times New Roman"/>
          <w:lang w:val="fr-FR"/>
        </w:rPr>
        <w:t>,</w:t>
      </w:r>
      <w:r w:rsidR="00021874" w:rsidRPr="005D3CD5">
        <w:rPr>
          <w:rFonts w:eastAsia="Times New Roman"/>
          <w:lang w:val="fr-FR"/>
        </w:rPr>
        <w:t xml:space="preserve"> ne trouve pas à s</w:t>
      </w:r>
      <w:r w:rsidR="005D3CD5" w:rsidRPr="005D3CD5">
        <w:rPr>
          <w:rFonts w:eastAsia="Times New Roman"/>
          <w:lang w:val="fr-FR"/>
        </w:rPr>
        <w:t>’</w:t>
      </w:r>
      <w:r w:rsidR="00021874" w:rsidRPr="005D3CD5">
        <w:rPr>
          <w:rFonts w:eastAsia="Times New Roman"/>
          <w:lang w:val="fr-FR"/>
        </w:rPr>
        <w:t>appliquer dans l</w:t>
      </w:r>
      <w:r w:rsidR="00535282" w:rsidRPr="005D3CD5">
        <w:rPr>
          <w:rFonts w:eastAsia="Times New Roman"/>
          <w:lang w:val="fr-FR"/>
        </w:rPr>
        <w:t>a situation</w:t>
      </w:r>
      <w:r w:rsidR="00021874" w:rsidRPr="005D3CD5">
        <w:rPr>
          <w:rFonts w:eastAsia="Times New Roman"/>
          <w:lang w:val="fr-FR"/>
        </w:rPr>
        <w:t xml:space="preserve"> </w:t>
      </w:r>
      <w:r w:rsidRPr="005D3CD5">
        <w:rPr>
          <w:rFonts w:eastAsia="Times New Roman"/>
          <w:lang w:val="fr-FR"/>
        </w:rPr>
        <w:t>des requérants</w:t>
      </w:r>
      <w:r w:rsidR="00021874" w:rsidRPr="005D3CD5">
        <w:rPr>
          <w:rFonts w:eastAsia="Times New Roman"/>
          <w:lang w:val="fr-FR"/>
        </w:rPr>
        <w:t>.</w:t>
      </w:r>
    </w:p>
    <w:p w:rsidR="00021874" w:rsidRPr="005D3CD5" w:rsidRDefault="009F0907"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94</w:t>
      </w:r>
      <w:r w:rsidRPr="005D3CD5">
        <w:rPr>
          <w:rFonts w:eastAsia="Times New Roman"/>
          <w:lang w:val="fr-FR"/>
        </w:rPr>
        <w:fldChar w:fldCharType="end"/>
      </w:r>
      <w:r w:rsidRPr="005D3CD5">
        <w:rPr>
          <w:rFonts w:eastAsia="Times New Roman"/>
          <w:lang w:val="fr-FR"/>
        </w:rPr>
        <w:t>.  </w:t>
      </w:r>
      <w:r w:rsidR="00021874" w:rsidRPr="005D3CD5">
        <w:rPr>
          <w:rFonts w:eastAsia="Times New Roman"/>
          <w:lang w:val="fr-FR"/>
        </w:rPr>
        <w:t xml:space="preserve">Quant aux autres remèdes </w:t>
      </w:r>
      <w:r w:rsidR="00121C13" w:rsidRPr="005D3CD5">
        <w:rPr>
          <w:rFonts w:eastAsia="Times New Roman"/>
          <w:lang w:val="fr-FR"/>
        </w:rPr>
        <w:t>cités</w:t>
      </w:r>
      <w:r w:rsidR="00021874" w:rsidRPr="005D3CD5">
        <w:rPr>
          <w:rFonts w:eastAsia="Times New Roman"/>
          <w:lang w:val="fr-FR"/>
        </w:rPr>
        <w:t xml:space="preserve"> par le Gouvernement pour exciper du non-épuisement des voies de recours internes, la Cour note que les arguments qui l</w:t>
      </w:r>
      <w:r w:rsidR="005D3CD5" w:rsidRPr="005D3CD5">
        <w:rPr>
          <w:rFonts w:eastAsia="Times New Roman"/>
          <w:lang w:val="fr-FR"/>
        </w:rPr>
        <w:t>’</w:t>
      </w:r>
      <w:r w:rsidR="00021874" w:rsidRPr="005D3CD5">
        <w:rPr>
          <w:rFonts w:eastAsia="Times New Roman"/>
          <w:lang w:val="fr-FR"/>
        </w:rPr>
        <w:t>ont conduite à écarter cette exception</w:t>
      </w:r>
      <w:r w:rsidR="00984EBF" w:rsidRPr="005D3CD5">
        <w:rPr>
          <w:rFonts w:eastAsia="Times New Roman"/>
          <w:lang w:val="fr-FR"/>
        </w:rPr>
        <w:t xml:space="preserve"> (paragraphes</w:t>
      </w:r>
      <w:r w:rsidR="00535282" w:rsidRPr="005D3CD5">
        <w:rPr>
          <w:rFonts w:eastAsia="Times New Roman"/>
          <w:lang w:val="fr-FR"/>
        </w:rPr>
        <w:t> </w:t>
      </w:r>
      <w:r w:rsidR="007E61D4" w:rsidRPr="005D3CD5">
        <w:rPr>
          <w:noProof/>
          <w:lang w:val="fr-FR"/>
        </w:rPr>
        <w:t>40</w:t>
      </w:r>
      <w:r w:rsidR="00535282" w:rsidRPr="005D3CD5">
        <w:rPr>
          <w:rFonts w:eastAsia="Times New Roman"/>
          <w:lang w:val="fr-FR"/>
        </w:rPr>
        <w:noBreakHyphen/>
      </w:r>
      <w:r w:rsidR="007E61D4" w:rsidRPr="005D3CD5">
        <w:rPr>
          <w:noProof/>
          <w:lang w:val="fr-FR"/>
        </w:rPr>
        <w:t>43</w:t>
      </w:r>
      <w:r w:rsidR="00984EBF" w:rsidRPr="005D3CD5">
        <w:rPr>
          <w:rFonts w:eastAsia="Times New Roman"/>
          <w:lang w:val="fr-FR"/>
        </w:rPr>
        <w:t xml:space="preserve"> ci</w:t>
      </w:r>
      <w:r w:rsidR="005D3CD5" w:rsidRPr="005D3CD5">
        <w:rPr>
          <w:rFonts w:eastAsia="Times New Roman"/>
          <w:lang w:val="fr-FR"/>
        </w:rPr>
        <w:noBreakHyphen/>
      </w:r>
      <w:r w:rsidR="00984EBF" w:rsidRPr="005D3CD5">
        <w:rPr>
          <w:rFonts w:eastAsia="Times New Roman"/>
          <w:lang w:val="fr-FR"/>
        </w:rPr>
        <w:t>dessus)</w:t>
      </w:r>
      <w:r w:rsidR="00021874" w:rsidRPr="005D3CD5">
        <w:rPr>
          <w:rFonts w:eastAsia="Times New Roman"/>
          <w:lang w:val="fr-FR"/>
        </w:rPr>
        <w:t xml:space="preserve"> l</w:t>
      </w:r>
      <w:r w:rsidR="005D3CD5" w:rsidRPr="005D3CD5">
        <w:rPr>
          <w:rFonts w:eastAsia="Times New Roman"/>
          <w:lang w:val="fr-FR"/>
        </w:rPr>
        <w:t>’</w:t>
      </w:r>
      <w:r w:rsidR="00021874" w:rsidRPr="005D3CD5">
        <w:rPr>
          <w:rFonts w:eastAsia="Times New Roman"/>
          <w:lang w:val="fr-FR"/>
        </w:rPr>
        <w:t xml:space="preserve">amènent maintenant à conclure à </w:t>
      </w:r>
      <w:r w:rsidR="005D3CD5" w:rsidRPr="005D3CD5">
        <w:rPr>
          <w:rFonts w:eastAsia="Times New Roman"/>
          <w:lang w:val="fr-FR"/>
        </w:rPr>
        <w:t>la méconnaissance du paragraphe </w:t>
      </w:r>
      <w:r w:rsidR="00021874" w:rsidRPr="005D3CD5">
        <w:rPr>
          <w:rFonts w:eastAsia="Times New Roman"/>
          <w:lang w:val="fr-FR"/>
        </w:rPr>
        <w:t>5 de l</w:t>
      </w:r>
      <w:r w:rsidR="005D3CD5" w:rsidRPr="005D3CD5">
        <w:rPr>
          <w:rFonts w:eastAsia="Times New Roman"/>
          <w:lang w:val="fr-FR"/>
        </w:rPr>
        <w:t>’</w:t>
      </w:r>
      <w:r w:rsidR="00021874" w:rsidRPr="005D3CD5">
        <w:rPr>
          <w:rFonts w:eastAsia="Times New Roman"/>
          <w:lang w:val="fr-FR"/>
        </w:rPr>
        <w:t>article 5</w:t>
      </w:r>
      <w:r w:rsidR="00535282" w:rsidRPr="005D3CD5">
        <w:rPr>
          <w:rFonts w:eastAsia="Times New Roman"/>
          <w:lang w:val="fr-FR"/>
        </w:rPr>
        <w:t xml:space="preserve"> de la Convention</w:t>
      </w:r>
      <w:r w:rsidR="00021874" w:rsidRPr="005D3CD5">
        <w:rPr>
          <w:rFonts w:eastAsia="Times New Roman"/>
          <w:lang w:val="fr-FR"/>
        </w:rPr>
        <w:t>.</w:t>
      </w:r>
    </w:p>
    <w:p w:rsidR="00021874" w:rsidRPr="005D3CD5" w:rsidRDefault="009F0907" w:rsidP="005D3CD5">
      <w:pPr>
        <w:pStyle w:val="ECHRPara"/>
        <w:rPr>
          <w:rFonts w:eastAsia="Times New Roman"/>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95</w:t>
      </w:r>
      <w:r w:rsidRPr="005D3CD5">
        <w:rPr>
          <w:rFonts w:eastAsia="Times New Roman"/>
          <w:lang w:val="fr-FR"/>
        </w:rPr>
        <w:fldChar w:fldCharType="end"/>
      </w:r>
      <w:r w:rsidRPr="005D3CD5">
        <w:rPr>
          <w:rFonts w:eastAsia="Times New Roman"/>
          <w:lang w:val="fr-FR"/>
        </w:rPr>
        <w:t>.  </w:t>
      </w:r>
      <w:r w:rsidR="00387913" w:rsidRPr="005D3CD5">
        <w:rPr>
          <w:rFonts w:eastAsia="Times New Roman"/>
          <w:lang w:val="fr-FR"/>
        </w:rPr>
        <w:t>À</w:t>
      </w:r>
      <w:r w:rsidR="00021874" w:rsidRPr="005D3CD5">
        <w:rPr>
          <w:rFonts w:eastAsia="Times New Roman"/>
          <w:lang w:val="fr-FR"/>
        </w:rPr>
        <w:t xml:space="preserve"> la lumière de ce qui précède, la Cour estime que le</w:t>
      </w:r>
      <w:r w:rsidRPr="005D3CD5">
        <w:rPr>
          <w:rFonts w:eastAsia="Times New Roman"/>
          <w:lang w:val="fr-FR"/>
        </w:rPr>
        <w:t>s</w:t>
      </w:r>
      <w:r w:rsidR="00021874" w:rsidRPr="005D3CD5">
        <w:rPr>
          <w:rFonts w:eastAsia="Times New Roman"/>
          <w:lang w:val="fr-FR"/>
        </w:rPr>
        <w:t xml:space="preserve"> requérant</w:t>
      </w:r>
      <w:r w:rsidRPr="005D3CD5">
        <w:rPr>
          <w:rFonts w:eastAsia="Times New Roman"/>
          <w:lang w:val="fr-FR"/>
        </w:rPr>
        <w:t>s</w:t>
      </w:r>
      <w:r w:rsidR="00021874" w:rsidRPr="005D3CD5">
        <w:rPr>
          <w:rFonts w:eastAsia="Times New Roman"/>
          <w:lang w:val="fr-FR"/>
        </w:rPr>
        <w:t xml:space="preserve"> ne disposai</w:t>
      </w:r>
      <w:r w:rsidRPr="005D3CD5">
        <w:rPr>
          <w:rFonts w:eastAsia="Times New Roman"/>
          <w:lang w:val="fr-FR"/>
        </w:rPr>
        <w:t>en</w:t>
      </w:r>
      <w:r w:rsidR="00021874" w:rsidRPr="005D3CD5">
        <w:rPr>
          <w:rFonts w:eastAsia="Times New Roman"/>
          <w:lang w:val="fr-FR"/>
        </w:rPr>
        <w:t>t d</w:t>
      </w:r>
      <w:r w:rsidR="005D3CD5" w:rsidRPr="005D3CD5">
        <w:rPr>
          <w:rFonts w:eastAsia="Times New Roman"/>
          <w:lang w:val="fr-FR"/>
        </w:rPr>
        <w:t>’</w:t>
      </w:r>
      <w:r w:rsidR="00021874" w:rsidRPr="005D3CD5">
        <w:rPr>
          <w:rFonts w:eastAsia="Times New Roman"/>
          <w:lang w:val="fr-FR"/>
        </w:rPr>
        <w:t>aucun moyen pour obtenir, à un degré suffisant de certitude, réparation pour l</w:t>
      </w:r>
      <w:r w:rsidR="00400AFD" w:rsidRPr="005D3CD5">
        <w:rPr>
          <w:rFonts w:eastAsia="Times New Roman"/>
          <w:lang w:val="fr-FR"/>
        </w:rPr>
        <w:t>a</w:t>
      </w:r>
      <w:r w:rsidR="00021874" w:rsidRPr="005D3CD5">
        <w:rPr>
          <w:rFonts w:eastAsia="Times New Roman"/>
          <w:lang w:val="fr-FR"/>
        </w:rPr>
        <w:t xml:space="preserve"> violation</w:t>
      </w:r>
      <w:r w:rsidR="00400AFD" w:rsidRPr="005D3CD5">
        <w:rPr>
          <w:rFonts w:eastAsia="Times New Roman"/>
          <w:lang w:val="fr-FR"/>
        </w:rPr>
        <w:t xml:space="preserve"> de l</w:t>
      </w:r>
      <w:r w:rsidR="005D3CD5" w:rsidRPr="005D3CD5">
        <w:rPr>
          <w:rFonts w:eastAsia="Times New Roman"/>
          <w:lang w:val="fr-FR"/>
        </w:rPr>
        <w:t>’</w:t>
      </w:r>
      <w:r w:rsidR="00400AFD" w:rsidRPr="005D3CD5">
        <w:rPr>
          <w:rFonts w:eastAsia="Times New Roman"/>
          <w:lang w:val="fr-FR"/>
        </w:rPr>
        <w:t>article 5 § 1 f)</w:t>
      </w:r>
      <w:r w:rsidR="00387913" w:rsidRPr="005D3CD5">
        <w:rPr>
          <w:rFonts w:eastAsia="Times New Roman"/>
          <w:lang w:val="fr-FR"/>
        </w:rPr>
        <w:t xml:space="preserve"> de la Convention</w:t>
      </w:r>
      <w:r w:rsidR="00021874" w:rsidRPr="005D3CD5">
        <w:rPr>
          <w:rFonts w:eastAsia="Times New Roman"/>
          <w:lang w:val="fr-FR"/>
        </w:rPr>
        <w:t>.</w:t>
      </w:r>
    </w:p>
    <w:p w:rsidR="00021874" w:rsidRPr="005D3CD5" w:rsidRDefault="00F5718F" w:rsidP="005D3CD5">
      <w:pPr>
        <w:pStyle w:val="ECHRPara"/>
        <w:rPr>
          <w:i/>
          <w:lang w:val="fr-FR"/>
        </w:rPr>
      </w:pPr>
      <w:r w:rsidRPr="005D3CD5">
        <w:rPr>
          <w:rFonts w:eastAsia="Times New Roman"/>
          <w:lang w:val="fr-FR"/>
        </w:rPr>
        <w:fldChar w:fldCharType="begin"/>
      </w:r>
      <w:r w:rsidRPr="005D3CD5">
        <w:rPr>
          <w:rFonts w:eastAsia="Times New Roman"/>
          <w:lang w:val="fr-FR"/>
        </w:rPr>
        <w:instrText xml:space="preserve"> SEQ level0 \*arabic </w:instrText>
      </w:r>
      <w:r w:rsidRPr="005D3CD5">
        <w:rPr>
          <w:rFonts w:eastAsia="Times New Roman"/>
          <w:lang w:val="fr-FR"/>
        </w:rPr>
        <w:fldChar w:fldCharType="separate"/>
      </w:r>
      <w:r w:rsidR="005D3CD5" w:rsidRPr="005D3CD5">
        <w:rPr>
          <w:rFonts w:eastAsia="Times New Roman"/>
          <w:noProof/>
          <w:lang w:val="fr-FR"/>
        </w:rPr>
        <w:t>96</w:t>
      </w:r>
      <w:r w:rsidRPr="005D3CD5">
        <w:rPr>
          <w:rFonts w:eastAsia="Times New Roman"/>
          <w:lang w:val="fr-FR"/>
        </w:rPr>
        <w:fldChar w:fldCharType="end"/>
      </w:r>
      <w:r w:rsidRPr="005D3CD5">
        <w:rPr>
          <w:rFonts w:eastAsia="Times New Roman"/>
          <w:lang w:val="fr-FR"/>
        </w:rPr>
        <w:t>.  </w:t>
      </w:r>
      <w:r w:rsidR="009B6B79" w:rsidRPr="005D3CD5">
        <w:rPr>
          <w:rFonts w:eastAsia="Times New Roman"/>
          <w:lang w:val="fr-FR"/>
        </w:rPr>
        <w:t>Partant, i</w:t>
      </w:r>
      <w:r w:rsidR="00021874" w:rsidRPr="005D3CD5">
        <w:rPr>
          <w:rFonts w:eastAsia="Times New Roman"/>
          <w:lang w:val="fr-FR"/>
        </w:rPr>
        <w:t xml:space="preserve">l y a </w:t>
      </w:r>
      <w:r w:rsidR="009B6B79" w:rsidRPr="005D3CD5">
        <w:rPr>
          <w:rFonts w:eastAsia="Times New Roman"/>
          <w:lang w:val="fr-FR"/>
        </w:rPr>
        <w:t>eu</w:t>
      </w:r>
      <w:r w:rsidR="00021874" w:rsidRPr="005D3CD5">
        <w:rPr>
          <w:rFonts w:eastAsia="Times New Roman"/>
          <w:lang w:val="fr-FR"/>
        </w:rPr>
        <w:t xml:space="preserve"> violation de l</w:t>
      </w:r>
      <w:r w:rsidR="005D3CD5" w:rsidRPr="005D3CD5">
        <w:rPr>
          <w:rFonts w:eastAsia="Times New Roman"/>
          <w:lang w:val="fr-FR"/>
        </w:rPr>
        <w:t>’</w:t>
      </w:r>
      <w:r w:rsidR="00021874" w:rsidRPr="005D3CD5">
        <w:rPr>
          <w:rFonts w:eastAsia="Times New Roman"/>
          <w:lang w:val="fr-FR"/>
        </w:rPr>
        <w:t xml:space="preserve">article </w:t>
      </w:r>
      <w:bookmarkStart w:id="3" w:name="HIT9"/>
      <w:bookmarkEnd w:id="3"/>
      <w:r w:rsidR="00021874" w:rsidRPr="005D3CD5">
        <w:rPr>
          <w:rFonts w:eastAsia="Times New Roman"/>
          <w:lang w:val="fr-FR"/>
        </w:rPr>
        <w:t xml:space="preserve">5 § </w:t>
      </w:r>
      <w:bookmarkStart w:id="4" w:name="HIT10"/>
      <w:bookmarkEnd w:id="4"/>
      <w:r w:rsidR="002212AC" w:rsidRPr="005D3CD5">
        <w:rPr>
          <w:rFonts w:eastAsia="Times New Roman"/>
          <w:lang w:val="fr-FR"/>
        </w:rPr>
        <w:t xml:space="preserve">5 de la Convention </w:t>
      </w:r>
      <w:r w:rsidR="00984EBF" w:rsidRPr="005D3CD5">
        <w:rPr>
          <w:rFonts w:eastAsia="Times New Roman"/>
          <w:lang w:val="fr-FR"/>
        </w:rPr>
        <w:t>(voir</w:t>
      </w:r>
      <w:r w:rsidR="009F0907" w:rsidRPr="005D3CD5">
        <w:rPr>
          <w:rFonts w:eastAsia="Times New Roman"/>
          <w:lang w:val="fr-FR"/>
        </w:rPr>
        <w:t>, par exemple,</w:t>
      </w:r>
      <w:r w:rsidR="00A81DA8" w:rsidRPr="005D3CD5">
        <w:rPr>
          <w:i/>
          <w:lang w:val="fr-FR"/>
        </w:rPr>
        <w:t xml:space="preserve"> Seferovic</w:t>
      </w:r>
      <w:r w:rsidR="00A81DA8" w:rsidRPr="005D3CD5">
        <w:rPr>
          <w:lang w:val="fr-FR"/>
        </w:rPr>
        <w:t xml:space="preserve">, </w:t>
      </w:r>
      <w:r w:rsidR="00875EF3" w:rsidRPr="005D3CD5">
        <w:rPr>
          <w:lang w:val="fr-FR"/>
        </w:rPr>
        <w:t>précité</w:t>
      </w:r>
      <w:r w:rsidR="00875EF3" w:rsidRPr="005D3CD5">
        <w:rPr>
          <w:snapToGrid w:val="0"/>
          <w:lang w:val="fr-FR"/>
        </w:rPr>
        <w:t>,</w:t>
      </w:r>
      <w:r w:rsidR="00A81DA8" w:rsidRPr="005D3CD5">
        <w:rPr>
          <w:snapToGrid w:val="0"/>
          <w:lang w:val="fr-FR"/>
        </w:rPr>
        <w:t xml:space="preserve"> § 49</w:t>
      </w:r>
      <w:r w:rsidR="00875EF3" w:rsidRPr="005D3CD5">
        <w:rPr>
          <w:snapToGrid w:val="0"/>
          <w:lang w:val="fr-FR"/>
        </w:rPr>
        <w:t xml:space="preserve">, </w:t>
      </w:r>
      <w:r w:rsidRPr="005D3CD5">
        <w:rPr>
          <w:rFonts w:eastAsia="Times New Roman"/>
          <w:i/>
          <w:lang w:val="fr-FR"/>
        </w:rPr>
        <w:t>Zeciri</w:t>
      </w:r>
      <w:r w:rsidR="00875EF3" w:rsidRPr="005D3CD5">
        <w:rPr>
          <w:rFonts w:eastAsia="Times New Roman"/>
          <w:lang w:val="fr-FR"/>
        </w:rPr>
        <w:t xml:space="preserve">, </w:t>
      </w:r>
      <w:r w:rsidRPr="005D3CD5">
        <w:rPr>
          <w:rFonts w:eastAsia="Times New Roman"/>
          <w:lang w:val="fr-FR"/>
        </w:rPr>
        <w:t>précité</w:t>
      </w:r>
      <w:r w:rsidR="00387913" w:rsidRPr="005D3CD5">
        <w:rPr>
          <w:rFonts w:eastAsia="Times New Roman"/>
          <w:lang w:val="fr-FR"/>
        </w:rPr>
        <w:t>,</w:t>
      </w:r>
      <w:r w:rsidRPr="005D3CD5">
        <w:rPr>
          <w:rFonts w:eastAsia="Times New Roman"/>
          <w:lang w:val="fr-FR"/>
        </w:rPr>
        <w:t xml:space="preserve"> § 52, </w:t>
      </w:r>
      <w:r w:rsidR="009F0907" w:rsidRPr="005D3CD5">
        <w:rPr>
          <w:rFonts w:eastAsia="Times New Roman"/>
          <w:i/>
          <w:lang w:val="fr-FR"/>
        </w:rPr>
        <w:t>Pezone c. Italie</w:t>
      </w:r>
      <w:r w:rsidR="009F0907" w:rsidRPr="005D3CD5">
        <w:rPr>
          <w:rFonts w:eastAsia="Times New Roman"/>
          <w:lang w:val="fr-FR"/>
        </w:rPr>
        <w:t>, n</w:t>
      </w:r>
      <w:r w:rsidR="009F0907" w:rsidRPr="005D3CD5">
        <w:rPr>
          <w:rFonts w:eastAsia="Times New Roman"/>
          <w:vertAlign w:val="superscript"/>
          <w:lang w:val="fr-FR"/>
        </w:rPr>
        <w:t>o</w:t>
      </w:r>
      <w:r w:rsidR="00387913" w:rsidRPr="005D3CD5">
        <w:rPr>
          <w:rFonts w:eastAsia="Times New Roman"/>
          <w:lang w:val="fr-FR"/>
        </w:rPr>
        <w:t> </w:t>
      </w:r>
      <w:hyperlink r:id="rId16" w:anchor="{&quot;appno&quot;:[&quot;42098/98&quot;]}" w:tgtFrame="_blank" w:history="1">
        <w:r w:rsidR="009F0907" w:rsidRPr="005D3CD5">
          <w:rPr>
            <w:rFonts w:eastAsia="Times New Roman"/>
            <w:lang w:val="fr-FR"/>
          </w:rPr>
          <w:t>42098/98</w:t>
        </w:r>
      </w:hyperlink>
      <w:r w:rsidR="009F0907" w:rsidRPr="005D3CD5">
        <w:rPr>
          <w:rFonts w:eastAsia="Times New Roman"/>
          <w:lang w:val="fr-FR"/>
        </w:rPr>
        <w:t>, §§ 51-56, 18 décembre 2003</w:t>
      </w:r>
      <w:r w:rsidR="00387913" w:rsidRPr="005D3CD5">
        <w:rPr>
          <w:rFonts w:eastAsia="Times New Roman"/>
          <w:lang w:val="fr-FR"/>
        </w:rPr>
        <w:t>,</w:t>
      </w:r>
      <w:r w:rsidR="009F0907" w:rsidRPr="005D3CD5">
        <w:rPr>
          <w:rFonts w:eastAsia="Times New Roman"/>
          <w:lang w:val="fr-FR"/>
        </w:rPr>
        <w:t xml:space="preserve"> et </w:t>
      </w:r>
      <w:r w:rsidR="009F0907" w:rsidRPr="005D3CD5">
        <w:rPr>
          <w:rFonts w:eastAsia="Times New Roman"/>
          <w:i/>
          <w:lang w:val="fr-FR"/>
        </w:rPr>
        <w:t>Fox, Campbell et Hartley c.</w:t>
      </w:r>
      <w:r w:rsidR="00387913" w:rsidRPr="005D3CD5">
        <w:rPr>
          <w:rFonts w:eastAsia="Times New Roman"/>
          <w:i/>
          <w:lang w:val="fr-FR"/>
        </w:rPr>
        <w:t> </w:t>
      </w:r>
      <w:r w:rsidR="009F0907" w:rsidRPr="005D3CD5">
        <w:rPr>
          <w:rFonts w:eastAsia="Times New Roman"/>
          <w:i/>
          <w:lang w:val="fr-FR"/>
        </w:rPr>
        <w:t>Royaume-Uni</w:t>
      </w:r>
      <w:r w:rsidR="009F0907" w:rsidRPr="005D3CD5">
        <w:rPr>
          <w:rFonts w:eastAsia="Times New Roman"/>
          <w:lang w:val="fr-FR"/>
        </w:rPr>
        <w:t>, 30 août 1990, § 46, série A n</w:t>
      </w:r>
      <w:r w:rsidR="009F0907" w:rsidRPr="005D3CD5">
        <w:rPr>
          <w:rFonts w:eastAsia="Times New Roman"/>
          <w:vertAlign w:val="superscript"/>
          <w:lang w:val="fr-FR"/>
        </w:rPr>
        <w:t>o</w:t>
      </w:r>
      <w:r w:rsidR="009F0907" w:rsidRPr="005D3CD5">
        <w:rPr>
          <w:rFonts w:eastAsia="Times New Roman"/>
          <w:lang w:val="fr-FR"/>
        </w:rPr>
        <w:t>182</w:t>
      </w:r>
      <w:r w:rsidR="00313F49" w:rsidRPr="005D3CD5">
        <w:rPr>
          <w:rFonts w:eastAsia="Times New Roman"/>
          <w:lang w:val="fr-FR"/>
        </w:rPr>
        <w:t>)</w:t>
      </w:r>
    </w:p>
    <w:p w:rsidR="00E77CB3" w:rsidRPr="005D3CD5" w:rsidRDefault="0054121E" w:rsidP="005D3CD5">
      <w:pPr>
        <w:pStyle w:val="ECHRHeading1"/>
        <w:rPr>
          <w:lang w:val="fr-FR"/>
        </w:rPr>
      </w:pPr>
      <w:r w:rsidRPr="005D3CD5">
        <w:rPr>
          <w:lang w:val="fr-FR"/>
        </w:rPr>
        <w:t>V</w:t>
      </w:r>
      <w:r w:rsidR="00E77CB3" w:rsidRPr="005D3CD5">
        <w:rPr>
          <w:lang w:val="fr-FR"/>
        </w:rPr>
        <w:t>.  SUR L</w:t>
      </w:r>
      <w:r w:rsidR="005D3CD5" w:rsidRPr="005D3CD5">
        <w:rPr>
          <w:lang w:val="fr-FR"/>
        </w:rPr>
        <w:t>’</w:t>
      </w:r>
      <w:r w:rsidR="00E77CB3" w:rsidRPr="005D3CD5">
        <w:rPr>
          <w:lang w:val="fr-FR"/>
        </w:rPr>
        <w:t>APPLICATION DE L</w:t>
      </w:r>
      <w:r w:rsidR="005D3CD5" w:rsidRPr="005D3CD5">
        <w:rPr>
          <w:lang w:val="fr-FR"/>
        </w:rPr>
        <w:t>’</w:t>
      </w:r>
      <w:r w:rsidR="00E77CB3" w:rsidRPr="005D3CD5">
        <w:rPr>
          <w:lang w:val="fr-FR"/>
        </w:rPr>
        <w:t>ARTICLE 41 DE LA CONVENTION</w:t>
      </w:r>
    </w:p>
    <w:p w:rsidR="00E77CB3" w:rsidRPr="005D3CD5" w:rsidRDefault="00411061"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97</w:t>
      </w:r>
      <w:r w:rsidRPr="005D3CD5">
        <w:rPr>
          <w:lang w:val="fr-FR"/>
        </w:rPr>
        <w:fldChar w:fldCharType="end"/>
      </w:r>
      <w:r w:rsidR="00E77CB3" w:rsidRPr="005D3CD5">
        <w:rPr>
          <w:lang w:val="fr-FR"/>
        </w:rPr>
        <w:t>.  Aux termes de l</w:t>
      </w:r>
      <w:r w:rsidR="005D3CD5" w:rsidRPr="005D3CD5">
        <w:rPr>
          <w:lang w:val="fr-FR"/>
        </w:rPr>
        <w:t>’</w:t>
      </w:r>
      <w:r w:rsidR="00E77CB3" w:rsidRPr="005D3CD5">
        <w:rPr>
          <w:lang w:val="fr-FR"/>
        </w:rPr>
        <w:t>article 41 de la Convention,</w:t>
      </w:r>
    </w:p>
    <w:p w:rsidR="00E77CB3" w:rsidRPr="005D3CD5" w:rsidRDefault="00E77CB3" w:rsidP="005D3CD5">
      <w:pPr>
        <w:pStyle w:val="ECHRParaQuote"/>
        <w:keepNext/>
        <w:keepLines/>
        <w:rPr>
          <w:lang w:val="fr-FR"/>
        </w:rPr>
      </w:pPr>
      <w:r w:rsidRPr="005D3CD5">
        <w:rPr>
          <w:lang w:val="fr-FR"/>
        </w:rPr>
        <w:t>« Si la Cour déclare qu</w:t>
      </w:r>
      <w:r w:rsidR="005D3CD5" w:rsidRPr="005D3CD5">
        <w:rPr>
          <w:lang w:val="fr-FR"/>
        </w:rPr>
        <w:t>’</w:t>
      </w:r>
      <w:r w:rsidRPr="005D3CD5">
        <w:rPr>
          <w:lang w:val="fr-FR"/>
        </w:rPr>
        <w:t>il y a eu violation de la Convention ou de ses Protocoles, et si le droit interne de la Haute Partie contractante ne permet d</w:t>
      </w:r>
      <w:r w:rsidR="005D3CD5" w:rsidRPr="005D3CD5">
        <w:rPr>
          <w:lang w:val="fr-FR"/>
        </w:rPr>
        <w:t>’</w:t>
      </w:r>
      <w:r w:rsidRPr="005D3CD5">
        <w:rPr>
          <w:lang w:val="fr-FR"/>
        </w:rPr>
        <w:t>effacer qu</w:t>
      </w:r>
      <w:r w:rsidR="005D3CD5" w:rsidRPr="005D3CD5">
        <w:rPr>
          <w:lang w:val="fr-FR"/>
        </w:rPr>
        <w:t>’</w:t>
      </w:r>
      <w:r w:rsidRPr="005D3CD5">
        <w:rPr>
          <w:lang w:val="fr-FR"/>
        </w:rPr>
        <w:t>imparfaitement les conséquences de cette violation, la Cour accorde à la partie lésée, s</w:t>
      </w:r>
      <w:r w:rsidR="005D3CD5" w:rsidRPr="005D3CD5">
        <w:rPr>
          <w:lang w:val="fr-FR"/>
        </w:rPr>
        <w:t>’</w:t>
      </w:r>
      <w:r w:rsidRPr="005D3CD5">
        <w:rPr>
          <w:lang w:val="fr-FR"/>
        </w:rPr>
        <w:t>il y a lieu, une satisfaction équitable. »</w:t>
      </w:r>
    </w:p>
    <w:p w:rsidR="00E77CB3" w:rsidRPr="005D3CD5" w:rsidRDefault="00E77CB3" w:rsidP="005D3CD5">
      <w:pPr>
        <w:pStyle w:val="ECHRHeading2"/>
        <w:rPr>
          <w:lang w:val="fr-FR"/>
        </w:rPr>
      </w:pPr>
      <w:r w:rsidRPr="005D3CD5">
        <w:rPr>
          <w:lang w:val="fr-FR"/>
        </w:rPr>
        <w:t>A.  Dommage</w:t>
      </w:r>
    </w:p>
    <w:p w:rsidR="00E77CB3" w:rsidRPr="005D3CD5" w:rsidRDefault="00411061"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98</w:t>
      </w:r>
      <w:r w:rsidRPr="005D3CD5">
        <w:rPr>
          <w:lang w:val="fr-FR"/>
        </w:rPr>
        <w:fldChar w:fldCharType="end"/>
      </w:r>
      <w:r w:rsidR="00E77CB3" w:rsidRPr="005D3CD5">
        <w:rPr>
          <w:lang w:val="fr-FR"/>
        </w:rPr>
        <w:t>.  </w:t>
      </w:r>
      <w:r w:rsidR="0006720F" w:rsidRPr="005D3CD5">
        <w:rPr>
          <w:lang w:val="fr-FR"/>
        </w:rPr>
        <w:t>Les requérants</w:t>
      </w:r>
      <w:r w:rsidR="00E77CB3" w:rsidRPr="005D3CD5">
        <w:rPr>
          <w:lang w:val="fr-FR"/>
        </w:rPr>
        <w:t xml:space="preserve"> réclame</w:t>
      </w:r>
      <w:r w:rsidRPr="005D3CD5">
        <w:rPr>
          <w:lang w:val="fr-FR"/>
        </w:rPr>
        <w:t>nt</w:t>
      </w:r>
      <w:r w:rsidR="00E77CB3" w:rsidRPr="005D3CD5">
        <w:rPr>
          <w:lang w:val="fr-FR"/>
        </w:rPr>
        <w:t xml:space="preserve"> </w:t>
      </w:r>
      <w:r w:rsidR="002212AC" w:rsidRPr="005D3CD5">
        <w:rPr>
          <w:lang w:val="fr-FR"/>
        </w:rPr>
        <w:t>14 </w:t>
      </w:r>
      <w:r w:rsidR="008405F2" w:rsidRPr="005D3CD5">
        <w:rPr>
          <w:lang w:val="fr-FR"/>
        </w:rPr>
        <w:t>250</w:t>
      </w:r>
      <w:r w:rsidR="00E77CB3" w:rsidRPr="005D3CD5">
        <w:rPr>
          <w:lang w:val="fr-FR"/>
        </w:rPr>
        <w:t xml:space="preserve"> euros (EUR) </w:t>
      </w:r>
      <w:r w:rsidR="00815D9A" w:rsidRPr="005D3CD5">
        <w:rPr>
          <w:lang w:val="fr-FR"/>
        </w:rPr>
        <w:t xml:space="preserve">chacun </w:t>
      </w:r>
      <w:r w:rsidR="00E77CB3" w:rsidRPr="005D3CD5">
        <w:rPr>
          <w:lang w:val="fr-FR"/>
        </w:rPr>
        <w:t>au titre du préjudice moral qu</w:t>
      </w:r>
      <w:r w:rsidR="005D3CD5" w:rsidRPr="005D3CD5">
        <w:rPr>
          <w:lang w:val="fr-FR"/>
        </w:rPr>
        <w:t>’</w:t>
      </w:r>
      <w:r w:rsidRPr="005D3CD5">
        <w:rPr>
          <w:lang w:val="fr-FR"/>
        </w:rPr>
        <w:t>ils</w:t>
      </w:r>
      <w:r w:rsidR="00E77CB3" w:rsidRPr="005D3CD5">
        <w:rPr>
          <w:lang w:val="fr-FR"/>
        </w:rPr>
        <w:t xml:space="preserve"> </w:t>
      </w:r>
      <w:r w:rsidR="002F77AC" w:rsidRPr="005D3CD5">
        <w:rPr>
          <w:lang w:val="fr-FR"/>
        </w:rPr>
        <w:t>disent avoir</w:t>
      </w:r>
      <w:r w:rsidR="00E77CB3" w:rsidRPr="005D3CD5">
        <w:rPr>
          <w:lang w:val="fr-FR"/>
        </w:rPr>
        <w:t xml:space="preserve"> </w:t>
      </w:r>
      <w:r w:rsidR="00845CC3" w:rsidRPr="005D3CD5">
        <w:rPr>
          <w:lang w:val="fr-FR"/>
        </w:rPr>
        <w:t>subi</w:t>
      </w:r>
      <w:r w:rsidR="00E0269D" w:rsidRPr="005D3CD5">
        <w:rPr>
          <w:lang w:val="fr-FR"/>
        </w:rPr>
        <w:t xml:space="preserve"> </w:t>
      </w:r>
      <w:r w:rsidR="00845CC3" w:rsidRPr="005D3CD5">
        <w:rPr>
          <w:lang w:val="fr-FR"/>
        </w:rPr>
        <w:t>pour</w:t>
      </w:r>
      <w:r w:rsidR="00E0269D" w:rsidRPr="005D3CD5">
        <w:rPr>
          <w:lang w:val="fr-FR"/>
        </w:rPr>
        <w:t xml:space="preserve"> </w:t>
      </w:r>
      <w:r w:rsidR="00D51B2F" w:rsidRPr="005D3CD5">
        <w:rPr>
          <w:lang w:val="fr-FR"/>
        </w:rPr>
        <w:t xml:space="preserve">les </w:t>
      </w:r>
      <w:r w:rsidR="002F77AC" w:rsidRPr="005D3CD5">
        <w:rPr>
          <w:lang w:val="fr-FR"/>
        </w:rPr>
        <w:t>cinquante-sept</w:t>
      </w:r>
      <w:r w:rsidR="008405F2" w:rsidRPr="005D3CD5">
        <w:rPr>
          <w:lang w:val="fr-FR"/>
        </w:rPr>
        <w:t xml:space="preserve"> jours de </w:t>
      </w:r>
      <w:r w:rsidR="00D51B2F" w:rsidRPr="005D3CD5">
        <w:rPr>
          <w:lang w:val="fr-FR"/>
        </w:rPr>
        <w:t xml:space="preserve">leur </w:t>
      </w:r>
      <w:r w:rsidR="008405F2" w:rsidRPr="005D3CD5">
        <w:rPr>
          <w:lang w:val="fr-FR"/>
        </w:rPr>
        <w:t xml:space="preserve">détention </w:t>
      </w:r>
      <w:r w:rsidR="009D3AFF" w:rsidRPr="005D3CD5">
        <w:rPr>
          <w:lang w:val="fr-FR"/>
        </w:rPr>
        <w:t>(</w:t>
      </w:r>
      <w:r w:rsidR="002212AC" w:rsidRPr="005D3CD5">
        <w:rPr>
          <w:lang w:val="fr-FR"/>
        </w:rPr>
        <w:t>du 20</w:t>
      </w:r>
      <w:r w:rsidR="002F77AC" w:rsidRPr="005D3CD5">
        <w:rPr>
          <w:lang w:val="fr-FR"/>
        </w:rPr>
        <w:t> </w:t>
      </w:r>
      <w:r w:rsidR="002212AC" w:rsidRPr="005D3CD5">
        <w:rPr>
          <w:lang w:val="fr-FR"/>
        </w:rPr>
        <w:t xml:space="preserve">novembre 2008 </w:t>
      </w:r>
      <w:r w:rsidR="00E0269D" w:rsidRPr="005D3CD5">
        <w:rPr>
          <w:lang w:val="fr-FR"/>
        </w:rPr>
        <w:t xml:space="preserve">au </w:t>
      </w:r>
      <w:r w:rsidR="002212AC" w:rsidRPr="005D3CD5">
        <w:rPr>
          <w:lang w:val="fr-FR"/>
        </w:rPr>
        <w:t>14 janvier 2009</w:t>
      </w:r>
      <w:r w:rsidR="00E0269D" w:rsidRPr="005D3CD5">
        <w:rPr>
          <w:lang w:val="fr-FR"/>
        </w:rPr>
        <w:t>)</w:t>
      </w:r>
      <w:r w:rsidR="002212AC" w:rsidRPr="005D3CD5">
        <w:rPr>
          <w:lang w:val="fr-FR"/>
        </w:rPr>
        <w:t xml:space="preserve"> </w:t>
      </w:r>
      <w:r w:rsidR="008405F2" w:rsidRPr="005D3CD5">
        <w:rPr>
          <w:lang w:val="fr-FR"/>
        </w:rPr>
        <w:t>ou</w:t>
      </w:r>
      <w:r w:rsidR="004E0541" w:rsidRPr="005D3CD5">
        <w:rPr>
          <w:lang w:val="fr-FR"/>
        </w:rPr>
        <w:t>, à tout le moins,</w:t>
      </w:r>
      <w:r w:rsidR="008405F2" w:rsidRPr="005D3CD5">
        <w:rPr>
          <w:lang w:val="fr-FR"/>
        </w:rPr>
        <w:t xml:space="preserve"> 6 500 EUR</w:t>
      </w:r>
      <w:r w:rsidR="00815D9A" w:rsidRPr="005D3CD5">
        <w:rPr>
          <w:lang w:val="fr-FR"/>
        </w:rPr>
        <w:t xml:space="preserve"> chacun </w:t>
      </w:r>
      <w:r w:rsidR="008405F2" w:rsidRPr="005D3CD5">
        <w:rPr>
          <w:lang w:val="fr-FR"/>
        </w:rPr>
        <w:t xml:space="preserve">pour </w:t>
      </w:r>
      <w:r w:rsidR="00D51B2F" w:rsidRPr="005D3CD5">
        <w:rPr>
          <w:lang w:val="fr-FR"/>
        </w:rPr>
        <w:t xml:space="preserve">les </w:t>
      </w:r>
      <w:r w:rsidR="002F77AC" w:rsidRPr="005D3CD5">
        <w:rPr>
          <w:lang w:val="fr-FR"/>
        </w:rPr>
        <w:t>vingt-six</w:t>
      </w:r>
      <w:r w:rsidR="008405F2" w:rsidRPr="005D3CD5">
        <w:rPr>
          <w:lang w:val="fr-FR"/>
        </w:rPr>
        <w:t xml:space="preserve"> jours de prolongation de </w:t>
      </w:r>
      <w:r w:rsidR="00D51B2F" w:rsidRPr="005D3CD5">
        <w:rPr>
          <w:lang w:val="fr-FR"/>
        </w:rPr>
        <w:t>leur</w:t>
      </w:r>
      <w:r w:rsidR="008405F2" w:rsidRPr="005D3CD5">
        <w:rPr>
          <w:lang w:val="fr-FR"/>
        </w:rPr>
        <w:t xml:space="preserve"> détention </w:t>
      </w:r>
      <w:r w:rsidR="002F77AC" w:rsidRPr="005D3CD5">
        <w:rPr>
          <w:lang w:val="fr-FR"/>
        </w:rPr>
        <w:t>(</w:t>
      </w:r>
      <w:r w:rsidR="008405F2" w:rsidRPr="005D3CD5">
        <w:rPr>
          <w:lang w:val="fr-FR"/>
        </w:rPr>
        <w:t>du 1</w:t>
      </w:r>
      <w:r w:rsidR="00F822D6" w:rsidRPr="005D3CD5">
        <w:rPr>
          <w:lang w:val="fr-FR"/>
        </w:rPr>
        <w:t>7</w:t>
      </w:r>
      <w:r w:rsidR="008405F2" w:rsidRPr="005D3CD5">
        <w:rPr>
          <w:lang w:val="fr-FR"/>
        </w:rPr>
        <w:t xml:space="preserve"> décembre 2008</w:t>
      </w:r>
      <w:r w:rsidR="0006720F" w:rsidRPr="005D3CD5">
        <w:rPr>
          <w:lang w:val="fr-FR"/>
        </w:rPr>
        <w:t xml:space="preserve"> au 14</w:t>
      </w:r>
      <w:r w:rsidR="004E0541" w:rsidRPr="005D3CD5">
        <w:rPr>
          <w:lang w:val="fr-FR"/>
        </w:rPr>
        <w:t> </w:t>
      </w:r>
      <w:r w:rsidR="0006720F" w:rsidRPr="005D3CD5">
        <w:rPr>
          <w:lang w:val="fr-FR"/>
        </w:rPr>
        <w:t>janvier 2009</w:t>
      </w:r>
      <w:r w:rsidR="002F77AC" w:rsidRPr="005D3CD5">
        <w:rPr>
          <w:lang w:val="fr-FR"/>
        </w:rPr>
        <w:t>)</w:t>
      </w:r>
      <w:r w:rsidR="00E0269D" w:rsidRPr="005D3CD5">
        <w:rPr>
          <w:lang w:val="fr-FR"/>
        </w:rPr>
        <w:t>.</w:t>
      </w:r>
    </w:p>
    <w:p w:rsidR="00E77CB3" w:rsidRPr="005D3CD5" w:rsidRDefault="00411061"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99</w:t>
      </w:r>
      <w:r w:rsidRPr="005D3CD5">
        <w:rPr>
          <w:lang w:val="fr-FR"/>
        </w:rPr>
        <w:fldChar w:fldCharType="end"/>
      </w:r>
      <w:r w:rsidR="002212AC" w:rsidRPr="005D3CD5">
        <w:rPr>
          <w:lang w:val="fr-FR"/>
        </w:rPr>
        <w:t xml:space="preserve">.  Le Gouvernement </w:t>
      </w:r>
      <w:r w:rsidR="002F77AC" w:rsidRPr="005D3CD5">
        <w:rPr>
          <w:lang w:val="fr-FR"/>
        </w:rPr>
        <w:t>conteste cette demande</w:t>
      </w:r>
      <w:r w:rsidR="002212AC" w:rsidRPr="005D3CD5">
        <w:rPr>
          <w:lang w:val="fr-FR"/>
        </w:rPr>
        <w:t>.</w:t>
      </w:r>
    </w:p>
    <w:p w:rsidR="00E77CB3" w:rsidRPr="005D3CD5" w:rsidRDefault="00411061"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100</w:t>
      </w:r>
      <w:r w:rsidRPr="005D3CD5">
        <w:rPr>
          <w:lang w:val="fr-FR"/>
        </w:rPr>
        <w:fldChar w:fldCharType="end"/>
      </w:r>
      <w:r w:rsidR="00E77CB3" w:rsidRPr="005D3CD5">
        <w:rPr>
          <w:lang w:val="fr-FR"/>
        </w:rPr>
        <w:t>.  La Cour considère qu</w:t>
      </w:r>
      <w:r w:rsidR="00126047" w:rsidRPr="005D3CD5">
        <w:rPr>
          <w:lang w:val="fr-FR"/>
        </w:rPr>
        <w:t>e les</w:t>
      </w:r>
      <w:r w:rsidR="002212AC" w:rsidRPr="005D3CD5">
        <w:rPr>
          <w:lang w:val="fr-FR"/>
        </w:rPr>
        <w:t xml:space="preserve"> requérants</w:t>
      </w:r>
      <w:r w:rsidR="00126047" w:rsidRPr="005D3CD5">
        <w:rPr>
          <w:lang w:val="fr-FR"/>
        </w:rPr>
        <w:t xml:space="preserve"> ont subi un préjudice moral certain et qu</w:t>
      </w:r>
      <w:r w:rsidR="005D3CD5" w:rsidRPr="005D3CD5">
        <w:rPr>
          <w:lang w:val="fr-FR"/>
        </w:rPr>
        <w:t>’</w:t>
      </w:r>
      <w:r w:rsidR="00126047" w:rsidRPr="005D3CD5">
        <w:rPr>
          <w:lang w:val="fr-FR"/>
        </w:rPr>
        <w:t>il convient d</w:t>
      </w:r>
      <w:r w:rsidR="005D3CD5" w:rsidRPr="005D3CD5">
        <w:rPr>
          <w:lang w:val="fr-FR"/>
        </w:rPr>
        <w:t>’</w:t>
      </w:r>
      <w:r w:rsidR="00126047" w:rsidRPr="005D3CD5">
        <w:rPr>
          <w:lang w:val="fr-FR"/>
        </w:rPr>
        <w:t>octroyer à chacun d</w:t>
      </w:r>
      <w:r w:rsidR="005D3CD5" w:rsidRPr="005D3CD5">
        <w:rPr>
          <w:lang w:val="fr-FR"/>
        </w:rPr>
        <w:t>’</w:t>
      </w:r>
      <w:r w:rsidR="00126047" w:rsidRPr="005D3CD5">
        <w:rPr>
          <w:lang w:val="fr-FR"/>
        </w:rPr>
        <w:t>entre eux</w:t>
      </w:r>
      <w:r w:rsidR="002212AC" w:rsidRPr="005D3CD5">
        <w:rPr>
          <w:lang w:val="fr-FR"/>
        </w:rPr>
        <w:t xml:space="preserve"> 6 500</w:t>
      </w:r>
      <w:r w:rsidR="00E77CB3" w:rsidRPr="005D3CD5">
        <w:rPr>
          <w:lang w:val="fr-FR"/>
        </w:rPr>
        <w:t xml:space="preserve"> </w:t>
      </w:r>
      <w:r w:rsidR="002212AC" w:rsidRPr="005D3CD5">
        <w:rPr>
          <w:lang w:val="fr-FR"/>
        </w:rPr>
        <w:t xml:space="preserve">EUR </w:t>
      </w:r>
      <w:r w:rsidR="00126047" w:rsidRPr="005D3CD5">
        <w:rPr>
          <w:lang w:val="fr-FR"/>
        </w:rPr>
        <w:t>à ce</w:t>
      </w:r>
      <w:r w:rsidR="002212AC" w:rsidRPr="005D3CD5">
        <w:rPr>
          <w:lang w:val="fr-FR"/>
        </w:rPr>
        <w:t xml:space="preserve"> titre.</w:t>
      </w:r>
    </w:p>
    <w:p w:rsidR="00E77CB3" w:rsidRPr="005D3CD5" w:rsidRDefault="00E77CB3" w:rsidP="005D3CD5">
      <w:pPr>
        <w:pStyle w:val="ECHRHeading2"/>
        <w:rPr>
          <w:lang w:val="fr-FR"/>
        </w:rPr>
      </w:pPr>
      <w:r w:rsidRPr="005D3CD5">
        <w:rPr>
          <w:lang w:val="fr-FR"/>
        </w:rPr>
        <w:lastRenderedPageBreak/>
        <w:t>B.  Frais et dépens</w:t>
      </w:r>
    </w:p>
    <w:p w:rsidR="009F210B" w:rsidRPr="005D3CD5" w:rsidRDefault="00411061"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101</w:t>
      </w:r>
      <w:r w:rsidRPr="005D3CD5">
        <w:rPr>
          <w:lang w:val="fr-FR"/>
        </w:rPr>
        <w:fldChar w:fldCharType="end"/>
      </w:r>
      <w:r w:rsidR="00E77CB3" w:rsidRPr="005D3CD5">
        <w:rPr>
          <w:lang w:val="fr-FR"/>
        </w:rPr>
        <w:t>.  </w:t>
      </w:r>
      <w:r w:rsidRPr="005D3CD5">
        <w:rPr>
          <w:lang w:val="fr-FR"/>
        </w:rPr>
        <w:t>Les requérants</w:t>
      </w:r>
      <w:r w:rsidR="00E77CB3" w:rsidRPr="005D3CD5">
        <w:rPr>
          <w:lang w:val="fr-FR"/>
        </w:rPr>
        <w:t xml:space="preserve"> </w:t>
      </w:r>
      <w:r w:rsidR="009B0628" w:rsidRPr="005D3CD5">
        <w:rPr>
          <w:lang w:val="fr-FR"/>
        </w:rPr>
        <w:t>sollicitent</w:t>
      </w:r>
      <w:r w:rsidR="00E77CB3" w:rsidRPr="005D3CD5">
        <w:rPr>
          <w:lang w:val="fr-FR"/>
        </w:rPr>
        <w:t xml:space="preserve"> également </w:t>
      </w:r>
      <w:r w:rsidR="00845CC3" w:rsidRPr="005D3CD5">
        <w:rPr>
          <w:lang w:val="fr-FR"/>
        </w:rPr>
        <w:t>14 307 EUR</w:t>
      </w:r>
      <w:r w:rsidR="002212AC" w:rsidRPr="005D3CD5">
        <w:rPr>
          <w:lang w:val="fr-FR"/>
        </w:rPr>
        <w:t xml:space="preserve"> </w:t>
      </w:r>
      <w:r w:rsidR="00E77CB3" w:rsidRPr="005D3CD5">
        <w:rPr>
          <w:lang w:val="fr-FR"/>
        </w:rPr>
        <w:t>pour les frais et dépens engagés devant les juridictions internes</w:t>
      </w:r>
      <w:r w:rsidR="006B0D26" w:rsidRPr="005D3CD5">
        <w:rPr>
          <w:lang w:val="fr-FR"/>
        </w:rPr>
        <w:t>. Ils indiquent par ailleurs qu</w:t>
      </w:r>
      <w:r w:rsidR="005D3CD5" w:rsidRPr="005D3CD5">
        <w:rPr>
          <w:lang w:val="fr-FR"/>
        </w:rPr>
        <w:t>’</w:t>
      </w:r>
      <w:r w:rsidR="006B0D26" w:rsidRPr="005D3CD5">
        <w:rPr>
          <w:lang w:val="fr-FR"/>
        </w:rPr>
        <w:t>ils ont été condamnés au paiement de frais de procédure devant le tribunal de Rome et</w:t>
      </w:r>
      <w:r w:rsidR="00E77CB3" w:rsidRPr="005D3CD5">
        <w:rPr>
          <w:lang w:val="fr-FR"/>
        </w:rPr>
        <w:t xml:space="preserve"> </w:t>
      </w:r>
      <w:r w:rsidR="006B0D26" w:rsidRPr="005D3CD5">
        <w:rPr>
          <w:lang w:val="fr-FR"/>
        </w:rPr>
        <w:t xml:space="preserve">ils </w:t>
      </w:r>
      <w:r w:rsidR="002212AC" w:rsidRPr="005D3CD5">
        <w:rPr>
          <w:lang w:val="fr-FR"/>
        </w:rPr>
        <w:t>demande</w:t>
      </w:r>
      <w:r w:rsidR="003B3102" w:rsidRPr="005D3CD5">
        <w:rPr>
          <w:lang w:val="fr-FR"/>
        </w:rPr>
        <w:t xml:space="preserve">nt à la Cour de </w:t>
      </w:r>
      <w:r w:rsidR="002212AC" w:rsidRPr="005D3CD5">
        <w:rPr>
          <w:lang w:val="fr-FR"/>
        </w:rPr>
        <w:t xml:space="preserve">les </w:t>
      </w:r>
      <w:r w:rsidR="006B0D26" w:rsidRPr="005D3CD5">
        <w:rPr>
          <w:lang w:val="fr-FR"/>
        </w:rPr>
        <w:t xml:space="preserve">en </w:t>
      </w:r>
      <w:r w:rsidR="003B3102" w:rsidRPr="005D3CD5">
        <w:rPr>
          <w:lang w:val="fr-FR"/>
        </w:rPr>
        <w:t>exonérer</w:t>
      </w:r>
      <w:r w:rsidR="00804A76" w:rsidRPr="005D3CD5">
        <w:rPr>
          <w:lang w:val="fr-FR"/>
        </w:rPr>
        <w:t xml:space="preserve">. Ils </w:t>
      </w:r>
      <w:r w:rsidR="00543C34" w:rsidRPr="005D3CD5">
        <w:rPr>
          <w:lang w:val="fr-FR"/>
        </w:rPr>
        <w:t>réclament</w:t>
      </w:r>
      <w:r w:rsidR="00804A76" w:rsidRPr="005D3CD5">
        <w:rPr>
          <w:lang w:val="fr-FR"/>
        </w:rPr>
        <w:t xml:space="preserve"> en outre 500 EUR </w:t>
      </w:r>
      <w:r w:rsidR="009B0628" w:rsidRPr="005D3CD5">
        <w:rPr>
          <w:lang w:val="fr-FR"/>
        </w:rPr>
        <w:t>pour des frais</w:t>
      </w:r>
      <w:r w:rsidR="00804A76" w:rsidRPr="005D3CD5">
        <w:rPr>
          <w:lang w:val="fr-FR"/>
        </w:rPr>
        <w:t xml:space="preserve"> de traduction.</w:t>
      </w:r>
    </w:p>
    <w:p w:rsidR="00804A76" w:rsidRPr="005D3CD5" w:rsidRDefault="00804A76" w:rsidP="005D3CD5">
      <w:pPr>
        <w:pStyle w:val="ECHRPara"/>
        <w:rPr>
          <w:lang w:val="fr-FR"/>
        </w:rPr>
      </w:pPr>
      <w:r w:rsidRPr="005D3CD5">
        <w:rPr>
          <w:lang w:val="fr-FR"/>
        </w:rPr>
        <w:t xml:space="preserve">Les requérants demandent que toute somme octroyée </w:t>
      </w:r>
      <w:r w:rsidR="009B0628" w:rsidRPr="005D3CD5">
        <w:rPr>
          <w:lang w:val="fr-FR"/>
        </w:rPr>
        <w:t>au</w:t>
      </w:r>
      <w:r w:rsidRPr="005D3CD5">
        <w:rPr>
          <w:lang w:val="fr-FR"/>
        </w:rPr>
        <w:t xml:space="preserve"> titre </w:t>
      </w:r>
      <w:r w:rsidR="009B0628" w:rsidRPr="005D3CD5">
        <w:rPr>
          <w:lang w:val="fr-FR"/>
        </w:rPr>
        <w:t xml:space="preserve">des frais et dépens </w:t>
      </w:r>
      <w:r w:rsidRPr="005D3CD5">
        <w:rPr>
          <w:lang w:val="fr-FR"/>
        </w:rPr>
        <w:t>soit versée directement sur le compte bancaire de leur représentant.</w:t>
      </w:r>
    </w:p>
    <w:p w:rsidR="003B3102" w:rsidRPr="005D3CD5" w:rsidRDefault="00411061"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102</w:t>
      </w:r>
      <w:r w:rsidRPr="005D3CD5">
        <w:rPr>
          <w:lang w:val="fr-FR"/>
        </w:rPr>
        <w:fldChar w:fldCharType="end"/>
      </w:r>
      <w:r w:rsidR="00E77CB3" w:rsidRPr="005D3CD5">
        <w:rPr>
          <w:lang w:val="fr-FR"/>
        </w:rPr>
        <w:t xml:space="preserve">.  Le </w:t>
      </w:r>
      <w:r w:rsidR="003B3102" w:rsidRPr="005D3CD5">
        <w:rPr>
          <w:lang w:val="fr-FR"/>
        </w:rPr>
        <w:t xml:space="preserve">Gouvernement </w:t>
      </w:r>
      <w:r w:rsidR="009B0628" w:rsidRPr="005D3CD5">
        <w:rPr>
          <w:lang w:val="fr-FR"/>
        </w:rPr>
        <w:t xml:space="preserve">conteste </w:t>
      </w:r>
      <w:r w:rsidR="00576B27" w:rsidRPr="005D3CD5">
        <w:rPr>
          <w:lang w:val="fr-FR"/>
        </w:rPr>
        <w:t>la</w:t>
      </w:r>
      <w:r w:rsidR="009B0628" w:rsidRPr="005D3CD5">
        <w:rPr>
          <w:lang w:val="fr-FR"/>
        </w:rPr>
        <w:t xml:space="preserve"> prétention</w:t>
      </w:r>
      <w:r w:rsidR="00576B27" w:rsidRPr="005D3CD5">
        <w:rPr>
          <w:lang w:val="fr-FR"/>
        </w:rPr>
        <w:t xml:space="preserve"> formulée par les requérants</w:t>
      </w:r>
      <w:r w:rsidR="009B0628" w:rsidRPr="005D3CD5">
        <w:rPr>
          <w:lang w:val="fr-FR"/>
        </w:rPr>
        <w:t xml:space="preserve">, </w:t>
      </w:r>
      <w:r w:rsidR="00804A76" w:rsidRPr="005D3CD5">
        <w:rPr>
          <w:lang w:val="fr-FR"/>
        </w:rPr>
        <w:t>argu</w:t>
      </w:r>
      <w:r w:rsidR="009B0628" w:rsidRPr="005D3CD5">
        <w:rPr>
          <w:lang w:val="fr-FR"/>
        </w:rPr>
        <w:t>ant</w:t>
      </w:r>
      <w:r w:rsidR="003B3102" w:rsidRPr="005D3CD5">
        <w:rPr>
          <w:lang w:val="fr-FR"/>
        </w:rPr>
        <w:t xml:space="preserve"> que </w:t>
      </w:r>
      <w:r w:rsidR="00576B27" w:rsidRPr="005D3CD5">
        <w:rPr>
          <w:lang w:val="fr-FR"/>
        </w:rPr>
        <w:t>ceux-ci n</w:t>
      </w:r>
      <w:r w:rsidR="005D3CD5" w:rsidRPr="005D3CD5">
        <w:rPr>
          <w:lang w:val="fr-FR"/>
        </w:rPr>
        <w:t>’</w:t>
      </w:r>
      <w:r w:rsidR="00576B27" w:rsidRPr="005D3CD5">
        <w:rPr>
          <w:lang w:val="fr-FR"/>
        </w:rPr>
        <w:t>ont pas démontré avoir engagé les frais et dépens réclamés et qu</w:t>
      </w:r>
      <w:r w:rsidR="005D3CD5" w:rsidRPr="005D3CD5">
        <w:rPr>
          <w:lang w:val="fr-FR"/>
        </w:rPr>
        <w:t>’</w:t>
      </w:r>
      <w:r w:rsidR="00576B27" w:rsidRPr="005D3CD5">
        <w:rPr>
          <w:lang w:val="fr-FR"/>
        </w:rPr>
        <w:t>ils</w:t>
      </w:r>
      <w:r w:rsidR="003B3102" w:rsidRPr="005D3CD5">
        <w:rPr>
          <w:lang w:val="fr-FR"/>
        </w:rPr>
        <w:t xml:space="preserve"> n</w:t>
      </w:r>
      <w:r w:rsidR="005D3CD5" w:rsidRPr="005D3CD5">
        <w:rPr>
          <w:lang w:val="fr-FR"/>
        </w:rPr>
        <w:t>’</w:t>
      </w:r>
      <w:r w:rsidR="003B3102" w:rsidRPr="005D3CD5">
        <w:rPr>
          <w:lang w:val="fr-FR"/>
        </w:rPr>
        <w:t xml:space="preserve">ont </w:t>
      </w:r>
      <w:r w:rsidR="00576B27" w:rsidRPr="005D3CD5">
        <w:rPr>
          <w:lang w:val="fr-FR"/>
        </w:rPr>
        <w:t xml:space="preserve">donc </w:t>
      </w:r>
      <w:r w:rsidR="003B3102" w:rsidRPr="005D3CD5">
        <w:rPr>
          <w:lang w:val="fr-FR"/>
        </w:rPr>
        <w:t>pas respecté l</w:t>
      </w:r>
      <w:r w:rsidR="005D3CD5" w:rsidRPr="005D3CD5">
        <w:rPr>
          <w:lang w:val="fr-FR"/>
        </w:rPr>
        <w:t>’</w:t>
      </w:r>
      <w:r w:rsidR="003B3102" w:rsidRPr="005D3CD5">
        <w:rPr>
          <w:lang w:val="fr-FR"/>
        </w:rPr>
        <w:t>article 60 du règlement de la Cour</w:t>
      </w:r>
      <w:r w:rsidR="009B0628" w:rsidRPr="005D3CD5">
        <w:rPr>
          <w:lang w:val="fr-FR"/>
        </w:rPr>
        <w:t xml:space="preserve"> (« le règlement »)</w:t>
      </w:r>
      <w:r w:rsidR="00576B27" w:rsidRPr="005D3CD5">
        <w:rPr>
          <w:lang w:val="fr-FR"/>
        </w:rPr>
        <w:t>.</w:t>
      </w:r>
    </w:p>
    <w:p w:rsidR="003B3102" w:rsidRPr="005D3CD5" w:rsidRDefault="00804A76"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103</w:t>
      </w:r>
      <w:r w:rsidRPr="005D3CD5">
        <w:rPr>
          <w:lang w:val="fr-FR"/>
        </w:rPr>
        <w:fldChar w:fldCharType="end"/>
      </w:r>
      <w:r w:rsidRPr="005D3CD5">
        <w:rPr>
          <w:lang w:val="fr-FR"/>
        </w:rPr>
        <w:t>.  </w:t>
      </w:r>
      <w:r w:rsidR="003B3102" w:rsidRPr="005D3CD5">
        <w:rPr>
          <w:lang w:val="fr-FR"/>
        </w:rPr>
        <w:t>Selon la jurisprudence de la Cour, un requérant ne peut obtenir le remboursement de ses frais et dépens que dans la mesure où se trouvent établis leur réalité, leur nécessité et le caractère raisonnable de leur taux. En l</w:t>
      </w:r>
      <w:r w:rsidR="005D3CD5" w:rsidRPr="005D3CD5">
        <w:rPr>
          <w:lang w:val="fr-FR"/>
        </w:rPr>
        <w:t>’</w:t>
      </w:r>
      <w:r w:rsidR="003B3102" w:rsidRPr="005D3CD5">
        <w:rPr>
          <w:lang w:val="fr-FR"/>
        </w:rPr>
        <w:t>espèce</w:t>
      </w:r>
      <w:r w:rsidR="009B0628" w:rsidRPr="005D3CD5">
        <w:rPr>
          <w:lang w:val="fr-FR"/>
        </w:rPr>
        <w:t>, eu égard aux</w:t>
      </w:r>
      <w:r w:rsidR="003B3102" w:rsidRPr="005D3CD5">
        <w:rPr>
          <w:lang w:val="fr-FR"/>
        </w:rPr>
        <w:t xml:space="preserve"> documents </w:t>
      </w:r>
      <w:r w:rsidR="009B0628" w:rsidRPr="005D3CD5">
        <w:rPr>
          <w:lang w:val="fr-FR"/>
        </w:rPr>
        <w:t>dont elle dispose</w:t>
      </w:r>
      <w:r w:rsidR="003B3102" w:rsidRPr="005D3CD5">
        <w:rPr>
          <w:lang w:val="fr-FR"/>
        </w:rPr>
        <w:t xml:space="preserve"> et </w:t>
      </w:r>
      <w:r w:rsidR="009B0628" w:rsidRPr="005D3CD5">
        <w:rPr>
          <w:lang w:val="fr-FR"/>
        </w:rPr>
        <w:t>aux</w:t>
      </w:r>
      <w:r w:rsidR="003B3102" w:rsidRPr="005D3CD5">
        <w:rPr>
          <w:lang w:val="fr-FR"/>
        </w:rPr>
        <w:t xml:space="preserve"> critères</w:t>
      </w:r>
      <w:r w:rsidR="009B0628" w:rsidRPr="005D3CD5">
        <w:rPr>
          <w:lang w:val="fr-FR"/>
        </w:rPr>
        <w:t xml:space="preserve"> rappelés ci-avant</w:t>
      </w:r>
      <w:r w:rsidR="003B3102" w:rsidRPr="005D3CD5">
        <w:rPr>
          <w:lang w:val="fr-FR"/>
        </w:rPr>
        <w:t>, la Cour estime raisonnable la somme de 10 </w:t>
      </w:r>
      <w:r w:rsidR="0006720F" w:rsidRPr="005D3CD5">
        <w:rPr>
          <w:lang w:val="fr-FR"/>
        </w:rPr>
        <w:t>5</w:t>
      </w:r>
      <w:r w:rsidR="003B3102" w:rsidRPr="005D3CD5">
        <w:rPr>
          <w:lang w:val="fr-FR"/>
        </w:rPr>
        <w:t xml:space="preserve">00 EUR pour les frais et </w:t>
      </w:r>
      <w:r w:rsidRPr="005D3CD5">
        <w:rPr>
          <w:lang w:val="fr-FR"/>
        </w:rPr>
        <w:t>dépens</w:t>
      </w:r>
      <w:r w:rsidR="003B3102" w:rsidRPr="005D3CD5">
        <w:rPr>
          <w:lang w:val="fr-FR"/>
        </w:rPr>
        <w:t xml:space="preserve"> et l</w:t>
      </w:r>
      <w:r w:rsidR="005D3CD5" w:rsidRPr="005D3CD5">
        <w:rPr>
          <w:lang w:val="fr-FR"/>
        </w:rPr>
        <w:t>’</w:t>
      </w:r>
      <w:r w:rsidR="003B3102" w:rsidRPr="005D3CD5">
        <w:rPr>
          <w:lang w:val="fr-FR"/>
        </w:rPr>
        <w:t>accorde aux requérants. Cette somme est à verser directement sur le compte bancaire du représentant des requérant</w:t>
      </w:r>
      <w:r w:rsidR="0006720F" w:rsidRPr="005D3CD5">
        <w:rPr>
          <w:lang w:val="fr-FR"/>
        </w:rPr>
        <w:t>s.</w:t>
      </w:r>
    </w:p>
    <w:p w:rsidR="00E77CB3" w:rsidRPr="005D3CD5" w:rsidRDefault="00E77CB3" w:rsidP="005D3CD5">
      <w:pPr>
        <w:pStyle w:val="ECHRHeading2"/>
        <w:rPr>
          <w:lang w:val="fr-FR"/>
        </w:rPr>
      </w:pPr>
      <w:r w:rsidRPr="005D3CD5">
        <w:rPr>
          <w:lang w:val="fr-FR"/>
        </w:rPr>
        <w:t>C.  Intérêts moratoires</w:t>
      </w:r>
    </w:p>
    <w:p w:rsidR="00E77CB3" w:rsidRPr="005D3CD5" w:rsidRDefault="00411061" w:rsidP="005D3CD5">
      <w:pPr>
        <w:pStyle w:val="ECHRPara"/>
        <w:rPr>
          <w:lang w:val="fr-FR"/>
        </w:rPr>
      </w:pPr>
      <w:r w:rsidRPr="005D3CD5">
        <w:rPr>
          <w:lang w:val="fr-FR"/>
        </w:rPr>
        <w:fldChar w:fldCharType="begin"/>
      </w:r>
      <w:r w:rsidRPr="005D3CD5">
        <w:rPr>
          <w:lang w:val="fr-FR"/>
        </w:rPr>
        <w:instrText xml:space="preserve"> SEQ level0 \*arabic </w:instrText>
      </w:r>
      <w:r w:rsidRPr="005D3CD5">
        <w:rPr>
          <w:lang w:val="fr-FR"/>
        </w:rPr>
        <w:fldChar w:fldCharType="separate"/>
      </w:r>
      <w:r w:rsidR="005D3CD5" w:rsidRPr="005D3CD5">
        <w:rPr>
          <w:noProof/>
          <w:lang w:val="fr-FR"/>
        </w:rPr>
        <w:t>104</w:t>
      </w:r>
      <w:r w:rsidRPr="005D3CD5">
        <w:rPr>
          <w:lang w:val="fr-FR"/>
        </w:rPr>
        <w:fldChar w:fldCharType="end"/>
      </w:r>
      <w:r w:rsidR="00E77CB3" w:rsidRPr="005D3CD5">
        <w:rPr>
          <w:lang w:val="fr-FR"/>
        </w:rPr>
        <w:t>.  La Cour juge approprié de calquer le taux des intérêts moratoires sur le taux d</w:t>
      </w:r>
      <w:r w:rsidR="005D3CD5" w:rsidRPr="005D3CD5">
        <w:rPr>
          <w:lang w:val="fr-FR"/>
        </w:rPr>
        <w:t>’</w:t>
      </w:r>
      <w:r w:rsidR="00E77CB3" w:rsidRPr="005D3CD5">
        <w:rPr>
          <w:lang w:val="fr-FR"/>
        </w:rPr>
        <w:t>intérêt de la facilité de prêt marginal de la Banque centrale européenne majoré de trois points de pourcentage.</w:t>
      </w:r>
    </w:p>
    <w:p w:rsidR="00E77CB3" w:rsidRPr="005D3CD5" w:rsidRDefault="00E77CB3" w:rsidP="005D3CD5">
      <w:pPr>
        <w:pStyle w:val="ECHRTitle1"/>
        <w:rPr>
          <w:lang w:val="fr-FR"/>
        </w:rPr>
      </w:pPr>
      <w:r w:rsidRPr="005D3CD5">
        <w:rPr>
          <w:lang w:val="fr-FR"/>
        </w:rPr>
        <w:t>PAR CES MOTIFS, LA COUR</w:t>
      </w:r>
      <w:r w:rsidR="00411061" w:rsidRPr="005D3CD5">
        <w:rPr>
          <w:lang w:val="fr-FR"/>
        </w:rPr>
        <w:t>, À L</w:t>
      </w:r>
      <w:r w:rsidR="005D3CD5" w:rsidRPr="005D3CD5">
        <w:rPr>
          <w:lang w:val="fr-FR"/>
        </w:rPr>
        <w:t>’</w:t>
      </w:r>
      <w:r w:rsidR="00411061" w:rsidRPr="005D3CD5">
        <w:rPr>
          <w:lang w:val="fr-FR"/>
        </w:rPr>
        <w:t>UNANIMITÉ,</w:t>
      </w:r>
    </w:p>
    <w:p w:rsidR="00804A76" w:rsidRPr="005D3CD5" w:rsidRDefault="00804A76" w:rsidP="005D3CD5">
      <w:pPr>
        <w:pStyle w:val="JuList"/>
        <w:rPr>
          <w:lang w:val="fr-FR"/>
        </w:rPr>
      </w:pPr>
      <w:r w:rsidRPr="005D3CD5">
        <w:rPr>
          <w:lang w:val="fr-FR"/>
        </w:rPr>
        <w:t>1</w:t>
      </w:r>
      <w:r w:rsidR="00A364BA" w:rsidRPr="005D3CD5">
        <w:rPr>
          <w:lang w:val="fr-FR"/>
        </w:rPr>
        <w:t>.  </w:t>
      </w:r>
      <w:r w:rsidRPr="005D3CD5">
        <w:rPr>
          <w:i/>
          <w:lang w:val="fr-FR"/>
        </w:rPr>
        <w:t>Décide</w:t>
      </w:r>
      <w:r w:rsidRPr="005D3CD5">
        <w:rPr>
          <w:lang w:val="fr-FR"/>
        </w:rPr>
        <w:t xml:space="preserve"> de joindre les requêtes</w:t>
      </w:r>
      <w:r w:rsidR="00CD287F" w:rsidRPr="005D3CD5">
        <w:rPr>
          <w:lang w:val="fr-FR"/>
        </w:rPr>
        <w:t> ;</w:t>
      </w:r>
    </w:p>
    <w:p w:rsidR="00804A76" w:rsidRPr="005D3CD5" w:rsidRDefault="00804A76" w:rsidP="005D3CD5">
      <w:pPr>
        <w:pStyle w:val="JuList"/>
        <w:rPr>
          <w:lang w:val="fr-FR"/>
        </w:rPr>
      </w:pPr>
    </w:p>
    <w:p w:rsidR="00E77CB3" w:rsidRPr="005D3CD5" w:rsidRDefault="00804A76" w:rsidP="005D3CD5">
      <w:pPr>
        <w:pStyle w:val="JuList"/>
        <w:rPr>
          <w:b/>
          <w:lang w:val="fr-FR"/>
        </w:rPr>
      </w:pPr>
      <w:r w:rsidRPr="005D3CD5">
        <w:rPr>
          <w:lang w:val="fr-FR"/>
        </w:rPr>
        <w:t>2</w:t>
      </w:r>
      <w:r w:rsidR="00FB2B45" w:rsidRPr="005D3CD5">
        <w:rPr>
          <w:lang w:val="fr-FR"/>
        </w:rPr>
        <w:t>.  </w:t>
      </w:r>
      <w:r w:rsidR="00FB2B45" w:rsidRPr="005D3CD5">
        <w:rPr>
          <w:i/>
          <w:lang w:val="fr-FR"/>
        </w:rPr>
        <w:t>Déclare</w:t>
      </w:r>
      <w:r w:rsidR="00411061" w:rsidRPr="005D3CD5">
        <w:rPr>
          <w:lang w:val="fr-FR"/>
        </w:rPr>
        <w:t xml:space="preserve"> les requêtes recevables</w:t>
      </w:r>
      <w:r w:rsidR="00FB2B45" w:rsidRPr="005D3CD5">
        <w:rPr>
          <w:lang w:val="fr-FR"/>
        </w:rPr>
        <w:t xml:space="preserve"> quant au</w:t>
      </w:r>
      <w:r w:rsidR="00543C34" w:rsidRPr="005D3CD5">
        <w:rPr>
          <w:lang w:val="fr-FR"/>
        </w:rPr>
        <w:t>x</w:t>
      </w:r>
      <w:r w:rsidR="00BD4506" w:rsidRPr="005D3CD5">
        <w:rPr>
          <w:lang w:val="fr-FR"/>
        </w:rPr>
        <w:t xml:space="preserve"> </w:t>
      </w:r>
      <w:r w:rsidR="00FB2B45" w:rsidRPr="005D3CD5">
        <w:rPr>
          <w:lang w:val="fr-FR"/>
        </w:rPr>
        <w:t>grief</w:t>
      </w:r>
      <w:r w:rsidR="00543C34" w:rsidRPr="005D3CD5">
        <w:rPr>
          <w:lang w:val="fr-FR"/>
        </w:rPr>
        <w:t>s</w:t>
      </w:r>
      <w:r w:rsidR="00FB2B45" w:rsidRPr="005D3CD5">
        <w:rPr>
          <w:lang w:val="fr-FR"/>
        </w:rPr>
        <w:t xml:space="preserve"> tiré</w:t>
      </w:r>
      <w:r w:rsidR="00543C34" w:rsidRPr="005D3CD5">
        <w:rPr>
          <w:lang w:val="fr-FR"/>
        </w:rPr>
        <w:t>s</w:t>
      </w:r>
      <w:r w:rsidR="00FB2B45" w:rsidRPr="005D3CD5">
        <w:rPr>
          <w:lang w:val="fr-FR"/>
        </w:rPr>
        <w:t xml:space="preserve"> de </w:t>
      </w:r>
      <w:r w:rsidR="00BD4506" w:rsidRPr="005D3CD5">
        <w:rPr>
          <w:lang w:val="fr-FR"/>
        </w:rPr>
        <w:t>l</w:t>
      </w:r>
      <w:r w:rsidR="005D3CD5" w:rsidRPr="005D3CD5">
        <w:rPr>
          <w:lang w:val="fr-FR"/>
        </w:rPr>
        <w:t>’</w:t>
      </w:r>
      <w:r w:rsidR="00BD4506" w:rsidRPr="005D3CD5">
        <w:rPr>
          <w:lang w:val="fr-FR"/>
        </w:rPr>
        <w:t>article 5</w:t>
      </w:r>
      <w:r w:rsidR="00543C34" w:rsidRPr="005D3CD5">
        <w:rPr>
          <w:lang w:val="fr-FR"/>
        </w:rPr>
        <w:t> </w:t>
      </w:r>
      <w:r w:rsidR="00BD4506" w:rsidRPr="005D3CD5">
        <w:rPr>
          <w:lang w:val="fr-FR"/>
        </w:rPr>
        <w:t>§</w:t>
      </w:r>
      <w:r w:rsidR="00543C34" w:rsidRPr="005D3CD5">
        <w:rPr>
          <w:lang w:val="fr-FR"/>
        </w:rPr>
        <w:t>§ </w:t>
      </w:r>
      <w:r w:rsidR="00BD4506" w:rsidRPr="005D3CD5">
        <w:rPr>
          <w:lang w:val="fr-FR"/>
        </w:rPr>
        <w:t>1</w:t>
      </w:r>
      <w:r w:rsidR="00543C34" w:rsidRPr="005D3CD5">
        <w:rPr>
          <w:lang w:val="fr-FR"/>
        </w:rPr>
        <w:t> </w:t>
      </w:r>
      <w:r w:rsidR="00BD4506" w:rsidRPr="005D3CD5">
        <w:rPr>
          <w:lang w:val="fr-FR"/>
        </w:rPr>
        <w:t>f) et</w:t>
      </w:r>
      <w:r w:rsidR="00543C34" w:rsidRPr="005D3CD5">
        <w:rPr>
          <w:lang w:val="fr-FR"/>
        </w:rPr>
        <w:t> </w:t>
      </w:r>
      <w:r w:rsidR="00BD4506" w:rsidRPr="005D3CD5">
        <w:rPr>
          <w:lang w:val="fr-FR"/>
        </w:rPr>
        <w:t xml:space="preserve">5 </w:t>
      </w:r>
      <w:r w:rsidR="00543C34" w:rsidRPr="005D3CD5">
        <w:rPr>
          <w:lang w:val="fr-FR"/>
        </w:rPr>
        <w:t xml:space="preserve">de la Convention, </w:t>
      </w:r>
      <w:r w:rsidR="00FB2B45" w:rsidRPr="005D3CD5">
        <w:rPr>
          <w:lang w:val="fr-FR"/>
        </w:rPr>
        <w:t xml:space="preserve">et </w:t>
      </w:r>
      <w:r w:rsidR="00411061" w:rsidRPr="005D3CD5">
        <w:rPr>
          <w:lang w:val="fr-FR"/>
        </w:rPr>
        <w:t>irrecevables</w:t>
      </w:r>
      <w:r w:rsidR="00FB2B45" w:rsidRPr="005D3CD5">
        <w:rPr>
          <w:lang w:val="fr-FR"/>
        </w:rPr>
        <w:t xml:space="preserve"> pour le surplus ;</w:t>
      </w:r>
    </w:p>
    <w:p w:rsidR="00E77CB3" w:rsidRPr="005D3CD5" w:rsidRDefault="00E77CB3" w:rsidP="005D3CD5">
      <w:pPr>
        <w:pStyle w:val="JuList"/>
        <w:rPr>
          <w:lang w:val="fr-FR"/>
        </w:rPr>
      </w:pPr>
    </w:p>
    <w:p w:rsidR="00E77CB3" w:rsidRPr="005D3CD5" w:rsidRDefault="00804A76" w:rsidP="005D3CD5">
      <w:pPr>
        <w:pStyle w:val="JuList"/>
        <w:rPr>
          <w:lang w:val="fr-FR"/>
        </w:rPr>
      </w:pPr>
      <w:r w:rsidRPr="005D3CD5">
        <w:rPr>
          <w:lang w:val="fr-FR"/>
        </w:rPr>
        <w:t>3</w:t>
      </w:r>
      <w:r w:rsidR="00E77CB3" w:rsidRPr="005D3CD5">
        <w:rPr>
          <w:lang w:val="fr-FR"/>
        </w:rPr>
        <w:t>.  </w:t>
      </w:r>
      <w:r w:rsidR="00E77CB3" w:rsidRPr="005D3CD5">
        <w:rPr>
          <w:i/>
          <w:lang w:val="fr-FR"/>
        </w:rPr>
        <w:t>Dit</w:t>
      </w:r>
      <w:r w:rsidR="00E77CB3" w:rsidRPr="005D3CD5">
        <w:rPr>
          <w:lang w:val="fr-FR"/>
        </w:rPr>
        <w:t xml:space="preserve"> qu</w:t>
      </w:r>
      <w:r w:rsidR="005D3CD5" w:rsidRPr="005D3CD5">
        <w:rPr>
          <w:lang w:val="fr-FR"/>
        </w:rPr>
        <w:t>’</w:t>
      </w:r>
      <w:r w:rsidR="00E77CB3" w:rsidRPr="005D3CD5">
        <w:rPr>
          <w:lang w:val="fr-FR"/>
        </w:rPr>
        <w:t>il y a eu violation de l</w:t>
      </w:r>
      <w:r w:rsidR="005D3CD5" w:rsidRPr="005D3CD5">
        <w:rPr>
          <w:lang w:val="fr-FR"/>
        </w:rPr>
        <w:t>’</w:t>
      </w:r>
      <w:r w:rsidR="00E77CB3" w:rsidRPr="005D3CD5">
        <w:rPr>
          <w:lang w:val="fr-FR"/>
        </w:rPr>
        <w:t xml:space="preserve">article </w:t>
      </w:r>
      <w:r w:rsidR="00BD4506" w:rsidRPr="005D3CD5">
        <w:rPr>
          <w:lang w:val="fr-FR"/>
        </w:rPr>
        <w:t>5 §</w:t>
      </w:r>
      <w:r w:rsidR="00543C34" w:rsidRPr="005D3CD5">
        <w:rPr>
          <w:lang w:val="fr-FR"/>
        </w:rPr>
        <w:t> </w:t>
      </w:r>
      <w:r w:rsidR="00BD4506" w:rsidRPr="005D3CD5">
        <w:rPr>
          <w:lang w:val="fr-FR"/>
        </w:rPr>
        <w:t>1 f)</w:t>
      </w:r>
      <w:r w:rsidR="00E77CB3" w:rsidRPr="005D3CD5">
        <w:rPr>
          <w:lang w:val="fr-FR"/>
        </w:rPr>
        <w:t xml:space="preserve"> de la Convention ;</w:t>
      </w:r>
    </w:p>
    <w:p w:rsidR="00E77CB3" w:rsidRPr="005D3CD5" w:rsidRDefault="00E77CB3" w:rsidP="005D3CD5">
      <w:pPr>
        <w:pStyle w:val="JuList"/>
        <w:rPr>
          <w:lang w:val="fr-FR"/>
        </w:rPr>
      </w:pPr>
    </w:p>
    <w:p w:rsidR="00E77CB3" w:rsidRPr="005D3CD5" w:rsidRDefault="00804A76" w:rsidP="005D3CD5">
      <w:pPr>
        <w:pStyle w:val="JuList"/>
        <w:rPr>
          <w:lang w:val="fr-FR"/>
        </w:rPr>
      </w:pPr>
      <w:r w:rsidRPr="005D3CD5">
        <w:rPr>
          <w:lang w:val="fr-FR"/>
        </w:rPr>
        <w:t>4</w:t>
      </w:r>
      <w:r w:rsidR="00E77CB3" w:rsidRPr="005D3CD5">
        <w:rPr>
          <w:lang w:val="fr-FR"/>
        </w:rPr>
        <w:t>.  </w:t>
      </w:r>
      <w:r w:rsidR="00E77CB3" w:rsidRPr="005D3CD5">
        <w:rPr>
          <w:i/>
          <w:lang w:val="fr-FR"/>
        </w:rPr>
        <w:t>Dit</w:t>
      </w:r>
      <w:r w:rsidR="00411061" w:rsidRPr="005D3CD5">
        <w:rPr>
          <w:lang w:val="fr-FR"/>
        </w:rPr>
        <w:t xml:space="preserve"> </w:t>
      </w:r>
      <w:r w:rsidR="00E77CB3" w:rsidRPr="005D3CD5">
        <w:rPr>
          <w:lang w:val="fr-FR"/>
        </w:rPr>
        <w:t>qu</w:t>
      </w:r>
      <w:r w:rsidR="005D3CD5" w:rsidRPr="005D3CD5">
        <w:rPr>
          <w:lang w:val="fr-FR"/>
        </w:rPr>
        <w:t>’</w:t>
      </w:r>
      <w:r w:rsidR="00E77CB3" w:rsidRPr="005D3CD5">
        <w:rPr>
          <w:lang w:val="fr-FR"/>
        </w:rPr>
        <w:t>il y a eu violation de l</w:t>
      </w:r>
      <w:r w:rsidR="005D3CD5" w:rsidRPr="005D3CD5">
        <w:rPr>
          <w:lang w:val="fr-FR"/>
        </w:rPr>
        <w:t>’</w:t>
      </w:r>
      <w:r w:rsidR="00E77CB3" w:rsidRPr="005D3CD5">
        <w:rPr>
          <w:lang w:val="fr-FR"/>
        </w:rPr>
        <w:t xml:space="preserve">article </w:t>
      </w:r>
      <w:r w:rsidR="00BD4506" w:rsidRPr="005D3CD5">
        <w:rPr>
          <w:lang w:val="fr-FR"/>
        </w:rPr>
        <w:t>5 § 5</w:t>
      </w:r>
      <w:r w:rsidR="00E77CB3" w:rsidRPr="005D3CD5">
        <w:rPr>
          <w:lang w:val="fr-FR"/>
        </w:rPr>
        <w:t xml:space="preserve"> de la Convention ;</w:t>
      </w:r>
    </w:p>
    <w:p w:rsidR="00E77CB3" w:rsidRPr="005D3CD5" w:rsidRDefault="00E77CB3" w:rsidP="005D3CD5">
      <w:pPr>
        <w:pStyle w:val="JuList"/>
        <w:rPr>
          <w:lang w:val="fr-FR"/>
        </w:rPr>
      </w:pPr>
    </w:p>
    <w:p w:rsidR="009F210B" w:rsidRPr="005D3CD5" w:rsidRDefault="00804A76" w:rsidP="005D3CD5">
      <w:pPr>
        <w:pStyle w:val="JuList"/>
        <w:rPr>
          <w:lang w:val="fr-FR"/>
        </w:rPr>
      </w:pPr>
      <w:r w:rsidRPr="005D3CD5">
        <w:rPr>
          <w:lang w:val="fr-FR"/>
        </w:rPr>
        <w:t>5</w:t>
      </w:r>
      <w:r w:rsidR="00E77CB3" w:rsidRPr="005D3CD5">
        <w:rPr>
          <w:lang w:val="fr-FR"/>
        </w:rPr>
        <w:t>.  </w:t>
      </w:r>
      <w:r w:rsidR="00E77CB3" w:rsidRPr="005D3CD5">
        <w:rPr>
          <w:i/>
          <w:lang w:val="fr-FR"/>
        </w:rPr>
        <w:t>Dit</w:t>
      </w:r>
    </w:p>
    <w:p w:rsidR="00E77CB3" w:rsidRPr="005D3CD5" w:rsidRDefault="00E77CB3" w:rsidP="005D3CD5">
      <w:pPr>
        <w:pStyle w:val="JuLista"/>
        <w:rPr>
          <w:lang w:val="fr-FR"/>
        </w:rPr>
      </w:pPr>
      <w:r w:rsidRPr="005D3CD5">
        <w:rPr>
          <w:lang w:val="fr-FR"/>
        </w:rPr>
        <w:t>a)  que l</w:t>
      </w:r>
      <w:r w:rsidR="005D3CD5" w:rsidRPr="005D3CD5">
        <w:rPr>
          <w:lang w:val="fr-FR"/>
        </w:rPr>
        <w:t>’</w:t>
      </w:r>
      <w:r w:rsidRPr="005D3CD5">
        <w:rPr>
          <w:lang w:val="fr-FR"/>
        </w:rPr>
        <w:t>État défendeur doit verser, dans les trois mois</w:t>
      </w:r>
      <w:r w:rsidR="00BD4506" w:rsidRPr="005D3CD5">
        <w:rPr>
          <w:lang w:val="fr-FR"/>
        </w:rPr>
        <w:t xml:space="preserve"> </w:t>
      </w:r>
      <w:r w:rsidR="00411061" w:rsidRPr="005D3CD5">
        <w:rPr>
          <w:lang w:val="fr-FR"/>
        </w:rPr>
        <w:t>à compter du jour où l</w:t>
      </w:r>
      <w:r w:rsidR="005D3CD5" w:rsidRPr="005D3CD5">
        <w:rPr>
          <w:lang w:val="fr-FR"/>
        </w:rPr>
        <w:t>’</w:t>
      </w:r>
      <w:r w:rsidR="00411061" w:rsidRPr="005D3CD5">
        <w:rPr>
          <w:lang w:val="fr-FR"/>
        </w:rPr>
        <w:t>arrêt sera devenu définitif conformément à l</w:t>
      </w:r>
      <w:r w:rsidR="005D3CD5" w:rsidRPr="005D3CD5">
        <w:rPr>
          <w:lang w:val="fr-FR"/>
        </w:rPr>
        <w:t>’</w:t>
      </w:r>
      <w:r w:rsidR="00411061" w:rsidRPr="005D3CD5">
        <w:rPr>
          <w:lang w:val="fr-FR"/>
        </w:rPr>
        <w:t xml:space="preserve">article 44 § 2 de la </w:t>
      </w:r>
      <w:r w:rsidR="00BD4506" w:rsidRPr="005D3CD5">
        <w:rPr>
          <w:lang w:val="fr-FR"/>
        </w:rPr>
        <w:t>Convention,</w:t>
      </w:r>
      <w:r w:rsidRPr="005D3CD5">
        <w:rPr>
          <w:lang w:val="fr-FR"/>
        </w:rPr>
        <w:t xml:space="preserve"> les sommes suivantes :</w:t>
      </w:r>
    </w:p>
    <w:p w:rsidR="00E77CB3" w:rsidRPr="005D3CD5" w:rsidRDefault="00E77CB3" w:rsidP="005D3CD5">
      <w:pPr>
        <w:pStyle w:val="JuListi"/>
        <w:rPr>
          <w:lang w:val="fr-FR" w:eastAsia="en-GB"/>
        </w:rPr>
      </w:pPr>
      <w:r w:rsidRPr="005D3CD5">
        <w:rPr>
          <w:lang w:val="fr-FR" w:eastAsia="en-GB"/>
        </w:rPr>
        <w:lastRenderedPageBreak/>
        <w:t>i</w:t>
      </w:r>
      <w:r w:rsidR="00A364BA" w:rsidRPr="005D3CD5">
        <w:rPr>
          <w:lang w:val="fr-FR" w:eastAsia="en-GB"/>
        </w:rPr>
        <w:t>.</w:t>
      </w:r>
      <w:r w:rsidRPr="005D3CD5">
        <w:rPr>
          <w:lang w:val="fr-FR" w:eastAsia="en-GB"/>
        </w:rPr>
        <w:t>  </w:t>
      </w:r>
      <w:r w:rsidR="00C170CE" w:rsidRPr="005D3CD5">
        <w:rPr>
          <w:lang w:val="fr-FR" w:eastAsia="en-GB"/>
        </w:rPr>
        <w:t>6 500</w:t>
      </w:r>
      <w:r w:rsidRPr="005D3CD5">
        <w:rPr>
          <w:lang w:val="fr-FR" w:eastAsia="en-GB"/>
        </w:rPr>
        <w:t xml:space="preserve"> EUR (</w:t>
      </w:r>
      <w:r w:rsidR="00C170CE" w:rsidRPr="005D3CD5">
        <w:rPr>
          <w:lang w:val="fr-FR" w:eastAsia="en-GB"/>
        </w:rPr>
        <w:t>six mille cinq cent</w:t>
      </w:r>
      <w:r w:rsidR="00A364BA" w:rsidRPr="005D3CD5">
        <w:rPr>
          <w:lang w:val="fr-FR" w:eastAsia="en-GB"/>
        </w:rPr>
        <w:t>s</w:t>
      </w:r>
      <w:r w:rsidR="00C170CE" w:rsidRPr="005D3CD5">
        <w:rPr>
          <w:lang w:val="fr-FR" w:eastAsia="en-GB"/>
        </w:rPr>
        <w:t xml:space="preserve"> euros</w:t>
      </w:r>
      <w:r w:rsidRPr="005D3CD5">
        <w:rPr>
          <w:lang w:val="fr-FR" w:eastAsia="en-GB"/>
        </w:rPr>
        <w:t>)</w:t>
      </w:r>
      <w:r w:rsidR="00D76E36" w:rsidRPr="005D3CD5">
        <w:rPr>
          <w:lang w:val="fr-FR" w:eastAsia="en-GB"/>
        </w:rPr>
        <w:t xml:space="preserve"> à chaque requérant</w:t>
      </w:r>
      <w:r w:rsidRPr="005D3CD5">
        <w:rPr>
          <w:lang w:val="fr-FR" w:eastAsia="en-GB"/>
        </w:rPr>
        <w:t>, plus tout montant pouvant être dû à titre d</w:t>
      </w:r>
      <w:r w:rsidR="005D3CD5" w:rsidRPr="005D3CD5">
        <w:rPr>
          <w:lang w:val="fr-FR" w:eastAsia="en-GB"/>
        </w:rPr>
        <w:t>’</w:t>
      </w:r>
      <w:r w:rsidRPr="005D3CD5">
        <w:rPr>
          <w:lang w:val="fr-FR" w:eastAsia="en-GB"/>
        </w:rPr>
        <w:t xml:space="preserve">impôt, pour dommage </w:t>
      </w:r>
      <w:r w:rsidR="00A364BA" w:rsidRPr="005D3CD5">
        <w:rPr>
          <w:lang w:val="fr-FR" w:eastAsia="en-GB"/>
        </w:rPr>
        <w:t>moral,</w:t>
      </w:r>
    </w:p>
    <w:p w:rsidR="00E77CB3" w:rsidRPr="005D3CD5" w:rsidRDefault="00F64EDC" w:rsidP="005D3CD5">
      <w:pPr>
        <w:pStyle w:val="JuListi"/>
        <w:rPr>
          <w:lang w:val="fr-FR" w:eastAsia="en-GB"/>
        </w:rPr>
      </w:pPr>
      <w:r w:rsidRPr="005D3CD5">
        <w:rPr>
          <w:lang w:val="fr-FR" w:eastAsia="en-GB"/>
        </w:rPr>
        <w:t>ii</w:t>
      </w:r>
      <w:r w:rsidR="00A364BA" w:rsidRPr="005D3CD5">
        <w:rPr>
          <w:lang w:val="fr-FR" w:eastAsia="en-GB"/>
        </w:rPr>
        <w:t>.</w:t>
      </w:r>
      <w:r w:rsidR="00E77CB3" w:rsidRPr="005D3CD5">
        <w:rPr>
          <w:lang w:val="fr-FR" w:eastAsia="en-GB"/>
        </w:rPr>
        <w:t>  </w:t>
      </w:r>
      <w:r w:rsidR="00C170CE" w:rsidRPr="005D3CD5">
        <w:rPr>
          <w:lang w:val="fr-FR" w:eastAsia="en-GB"/>
        </w:rPr>
        <w:t>10 500</w:t>
      </w:r>
      <w:r w:rsidR="00E77CB3" w:rsidRPr="005D3CD5">
        <w:rPr>
          <w:lang w:val="fr-FR" w:eastAsia="en-GB"/>
        </w:rPr>
        <w:t xml:space="preserve"> EUR (</w:t>
      </w:r>
      <w:r w:rsidR="00C170CE" w:rsidRPr="005D3CD5">
        <w:rPr>
          <w:lang w:val="fr-FR" w:eastAsia="en-GB"/>
        </w:rPr>
        <w:t>dix mille cinq cent</w:t>
      </w:r>
      <w:r w:rsidR="0056170D" w:rsidRPr="005D3CD5">
        <w:rPr>
          <w:lang w:val="fr-FR" w:eastAsia="en-GB"/>
        </w:rPr>
        <w:t>s</w:t>
      </w:r>
      <w:r w:rsidR="00E77CB3" w:rsidRPr="005D3CD5">
        <w:rPr>
          <w:lang w:val="fr-FR" w:eastAsia="en-GB"/>
        </w:rPr>
        <w:t xml:space="preserve"> euros)</w:t>
      </w:r>
      <w:r w:rsidR="006E3F6E" w:rsidRPr="005D3CD5">
        <w:rPr>
          <w:lang w:val="fr-FR" w:eastAsia="en-GB"/>
        </w:rPr>
        <w:t xml:space="preserve"> conjointement aux requérants</w:t>
      </w:r>
      <w:r w:rsidR="00E77CB3" w:rsidRPr="005D3CD5">
        <w:rPr>
          <w:lang w:val="fr-FR" w:eastAsia="en-GB"/>
        </w:rPr>
        <w:t>,</w:t>
      </w:r>
      <w:r w:rsidR="00C170CE" w:rsidRPr="005D3CD5">
        <w:rPr>
          <w:lang w:val="fr-FR" w:eastAsia="en-GB"/>
        </w:rPr>
        <w:t xml:space="preserve"> </w:t>
      </w:r>
      <w:r w:rsidR="00E77CB3" w:rsidRPr="005D3CD5">
        <w:rPr>
          <w:lang w:val="fr-FR" w:eastAsia="en-GB"/>
        </w:rPr>
        <w:t xml:space="preserve">plus tout montant </w:t>
      </w:r>
      <w:r w:rsidR="005E37C6" w:rsidRPr="005D3CD5">
        <w:rPr>
          <w:lang w:val="fr-FR" w:eastAsia="en-GB"/>
        </w:rPr>
        <w:t xml:space="preserve">pouvant être dû par </w:t>
      </w:r>
      <w:r w:rsidR="006E3F6E" w:rsidRPr="005D3CD5">
        <w:rPr>
          <w:lang w:val="fr-FR" w:eastAsia="en-GB"/>
        </w:rPr>
        <w:t>ceux-ci</w:t>
      </w:r>
      <w:r w:rsidR="005E37C6" w:rsidRPr="005D3CD5">
        <w:rPr>
          <w:lang w:val="fr-FR" w:eastAsia="en-GB"/>
        </w:rPr>
        <w:t xml:space="preserve"> à titre d</w:t>
      </w:r>
      <w:r w:rsidR="005D3CD5" w:rsidRPr="005D3CD5">
        <w:rPr>
          <w:lang w:val="fr-FR" w:eastAsia="en-GB"/>
        </w:rPr>
        <w:t>’</w:t>
      </w:r>
      <w:r w:rsidR="005E37C6" w:rsidRPr="005D3CD5">
        <w:rPr>
          <w:lang w:val="fr-FR" w:eastAsia="en-GB"/>
        </w:rPr>
        <w:t>impôt, pour frais et dépens</w:t>
      </w:r>
      <w:r w:rsidR="0056170D" w:rsidRPr="005D3CD5">
        <w:rPr>
          <w:lang w:val="fr-FR" w:eastAsia="en-GB"/>
        </w:rPr>
        <w:t>,</w:t>
      </w:r>
      <w:r w:rsidR="00C170CE" w:rsidRPr="005D3CD5">
        <w:rPr>
          <w:lang w:val="fr-FR" w:eastAsia="en-GB"/>
        </w:rPr>
        <w:t xml:space="preserve"> à verser sur le compte bancaire d</w:t>
      </w:r>
      <w:r w:rsidR="0056170D" w:rsidRPr="005D3CD5">
        <w:rPr>
          <w:lang w:val="fr-FR" w:eastAsia="en-GB"/>
        </w:rPr>
        <w:t>u</w:t>
      </w:r>
      <w:r w:rsidR="00C170CE" w:rsidRPr="005D3CD5">
        <w:rPr>
          <w:lang w:val="fr-FR" w:eastAsia="en-GB"/>
        </w:rPr>
        <w:t xml:space="preserve"> représentant d</w:t>
      </w:r>
      <w:r w:rsidR="0056170D" w:rsidRPr="005D3CD5">
        <w:rPr>
          <w:lang w:val="fr-FR" w:eastAsia="en-GB"/>
        </w:rPr>
        <w:t>es</w:t>
      </w:r>
      <w:r w:rsidR="00C170CE" w:rsidRPr="005D3CD5">
        <w:rPr>
          <w:lang w:val="fr-FR" w:eastAsia="en-GB"/>
        </w:rPr>
        <w:t xml:space="preserve"> requérant</w:t>
      </w:r>
      <w:r w:rsidR="0056170D" w:rsidRPr="005D3CD5">
        <w:rPr>
          <w:lang w:val="fr-FR" w:eastAsia="en-GB"/>
        </w:rPr>
        <w:t>s</w:t>
      </w:r>
      <w:r w:rsidR="00C170CE" w:rsidRPr="005D3CD5">
        <w:rPr>
          <w:lang w:val="fr-FR" w:eastAsia="en-GB"/>
        </w:rPr>
        <w:t xml:space="preserve"> ;</w:t>
      </w:r>
    </w:p>
    <w:p w:rsidR="00E77CB3" w:rsidRPr="005D3CD5" w:rsidRDefault="00E77CB3" w:rsidP="005D3CD5">
      <w:pPr>
        <w:pStyle w:val="JuLista"/>
        <w:rPr>
          <w:lang w:val="fr-FR"/>
        </w:rPr>
      </w:pPr>
      <w:r w:rsidRPr="005D3CD5">
        <w:rPr>
          <w:lang w:val="fr-FR"/>
        </w:rPr>
        <w:t>b)  qu</w:t>
      </w:r>
      <w:r w:rsidR="005D3CD5" w:rsidRPr="005D3CD5">
        <w:rPr>
          <w:lang w:val="fr-FR"/>
        </w:rPr>
        <w:t>’</w:t>
      </w:r>
      <w:r w:rsidRPr="005D3CD5">
        <w:rPr>
          <w:lang w:val="fr-FR"/>
        </w:rPr>
        <w:t>à compter de l</w:t>
      </w:r>
      <w:r w:rsidR="005D3CD5" w:rsidRPr="005D3CD5">
        <w:rPr>
          <w:lang w:val="fr-FR"/>
        </w:rPr>
        <w:t>’</w:t>
      </w:r>
      <w:r w:rsidRPr="005D3CD5">
        <w:rPr>
          <w:lang w:val="fr-FR"/>
        </w:rPr>
        <w:t>expiration dudit délai et jusqu</w:t>
      </w:r>
      <w:r w:rsidR="005D3CD5" w:rsidRPr="005D3CD5">
        <w:rPr>
          <w:lang w:val="fr-FR"/>
        </w:rPr>
        <w:t>’</w:t>
      </w:r>
      <w:r w:rsidRPr="005D3CD5">
        <w:rPr>
          <w:lang w:val="fr-FR"/>
        </w:rPr>
        <w:t>au versement, ces montants seront à majorer d</w:t>
      </w:r>
      <w:r w:rsidR="005D3CD5" w:rsidRPr="005D3CD5">
        <w:rPr>
          <w:lang w:val="fr-FR"/>
        </w:rPr>
        <w:t>’</w:t>
      </w:r>
      <w:r w:rsidRPr="005D3CD5">
        <w:rPr>
          <w:lang w:val="fr-FR"/>
        </w:rPr>
        <w:t>un intérêt simple à un taux égal à celui de la facilité de prêt marginal de la Banque centrale européenne applicable pendant cette période, augmenté de trois points de pourcentage ;</w:t>
      </w:r>
    </w:p>
    <w:p w:rsidR="00E77CB3" w:rsidRPr="005D3CD5" w:rsidRDefault="00E77CB3" w:rsidP="005D3CD5">
      <w:pPr>
        <w:pStyle w:val="JuLista"/>
        <w:rPr>
          <w:lang w:val="fr-FR"/>
        </w:rPr>
      </w:pPr>
    </w:p>
    <w:p w:rsidR="00E77CB3" w:rsidRPr="005D3CD5" w:rsidRDefault="00804A76" w:rsidP="005D3CD5">
      <w:pPr>
        <w:pStyle w:val="JuList"/>
        <w:rPr>
          <w:lang w:val="fr-FR"/>
        </w:rPr>
      </w:pPr>
      <w:r w:rsidRPr="005D3CD5">
        <w:rPr>
          <w:lang w:val="fr-FR"/>
        </w:rPr>
        <w:t>6</w:t>
      </w:r>
      <w:r w:rsidR="00E77CB3" w:rsidRPr="005D3CD5">
        <w:rPr>
          <w:lang w:val="fr-FR"/>
        </w:rPr>
        <w:t>.  </w:t>
      </w:r>
      <w:r w:rsidR="00E77CB3" w:rsidRPr="005D3CD5">
        <w:rPr>
          <w:i/>
          <w:lang w:val="fr-FR"/>
        </w:rPr>
        <w:t>Rejette</w:t>
      </w:r>
      <w:r w:rsidR="00E77CB3" w:rsidRPr="005D3CD5">
        <w:rPr>
          <w:lang w:val="fr-FR"/>
        </w:rPr>
        <w:t xml:space="preserve"> la demande de satisfaction équitable pour le surplus.</w:t>
      </w:r>
    </w:p>
    <w:p w:rsidR="00E77CB3" w:rsidRPr="005D3CD5" w:rsidRDefault="00E77CB3" w:rsidP="005D3CD5">
      <w:pPr>
        <w:pStyle w:val="JuParaLast"/>
        <w:rPr>
          <w:lang w:val="fr-FR"/>
        </w:rPr>
      </w:pPr>
      <w:r w:rsidRPr="005D3CD5">
        <w:rPr>
          <w:lang w:val="fr-FR"/>
        </w:rPr>
        <w:t>Fait en français, puis communiqué par écrit le </w:t>
      </w:r>
      <w:r w:rsidR="003C4F76" w:rsidRPr="005D3CD5">
        <w:rPr>
          <w:lang w:val="fr-FR"/>
        </w:rPr>
        <w:t>6 octobre 2016</w:t>
      </w:r>
      <w:r w:rsidRPr="005D3CD5">
        <w:rPr>
          <w:lang w:val="fr-FR"/>
        </w:rPr>
        <w:t>, en application de l</w:t>
      </w:r>
      <w:r w:rsidR="005D3CD5" w:rsidRPr="005D3CD5">
        <w:rPr>
          <w:lang w:val="fr-FR"/>
        </w:rPr>
        <w:t>’</w:t>
      </w:r>
      <w:r w:rsidRPr="005D3CD5">
        <w:rPr>
          <w:lang w:val="fr-FR"/>
        </w:rPr>
        <w:t>article 77 §§ 2 et 3 du règlement.</w:t>
      </w:r>
    </w:p>
    <w:p w:rsidR="00AB10C5" w:rsidRPr="005D3CD5" w:rsidRDefault="00AB10C5" w:rsidP="005D3CD5">
      <w:pPr>
        <w:pStyle w:val="JuSigned"/>
        <w:keepNext/>
        <w:keepLines/>
        <w:tabs>
          <w:tab w:val="clear" w:pos="6407"/>
          <w:tab w:val="center" w:pos="5954"/>
        </w:tabs>
        <w:ind w:left="284" w:hanging="284"/>
        <w:rPr>
          <w:lang w:val="uk-UA"/>
        </w:rPr>
      </w:pPr>
      <w:r w:rsidRPr="005D3CD5">
        <w:rPr>
          <w:lang w:val="pt-PT"/>
        </w:rPr>
        <w:t>Abel Campos</w:t>
      </w:r>
      <w:r w:rsidRPr="005D3CD5">
        <w:rPr>
          <w:lang w:val="pt-PT"/>
        </w:rPr>
        <w:tab/>
      </w:r>
      <w:r w:rsidRPr="005D3CD5">
        <w:rPr>
          <w:szCs w:val="24"/>
          <w:lang w:val="pt-PT"/>
        </w:rPr>
        <w:t>Mirjana Lazarova Trajkovska</w:t>
      </w:r>
      <w:r w:rsidRPr="005D3CD5">
        <w:rPr>
          <w:lang w:val="pt-PT"/>
        </w:rPr>
        <w:br/>
        <w:t>Greffier</w:t>
      </w:r>
      <w:r w:rsidRPr="005D3CD5">
        <w:rPr>
          <w:lang w:val="pt-PT"/>
        </w:rPr>
        <w:tab/>
        <w:t>Présidente</w:t>
      </w:r>
    </w:p>
    <w:p w:rsidR="00AB10C5" w:rsidRPr="005D3CD5" w:rsidRDefault="00AB10C5" w:rsidP="005D3CD5">
      <w:pPr>
        <w:pStyle w:val="JuParaLast"/>
        <w:rPr>
          <w:lang w:val="uk-UA"/>
        </w:rPr>
      </w:pPr>
    </w:p>
    <w:p w:rsidR="004D15F3" w:rsidRPr="005D3CD5" w:rsidRDefault="004D15F3" w:rsidP="005D3CD5">
      <w:pPr>
        <w:rPr>
          <w:lang w:val="uk-UA"/>
        </w:rPr>
      </w:pPr>
    </w:p>
    <w:p w:rsidR="006940DD" w:rsidRPr="005D3CD5" w:rsidRDefault="00B504CC" w:rsidP="005D3CD5">
      <w:pPr>
        <w:autoSpaceDE w:val="0"/>
        <w:autoSpaceDN w:val="0"/>
        <w:adjustRightInd w:val="0"/>
        <w:spacing w:before="720" w:after="240"/>
        <w:jc w:val="center"/>
        <w:rPr>
          <w:rFonts w:ascii="Times New Roman" w:eastAsiaTheme="minorHAnsi" w:hAnsi="Times New Roman" w:cs="Times New Roman"/>
          <w:b/>
          <w:bCs/>
          <w:caps/>
          <w:color w:val="000000"/>
          <w:szCs w:val="24"/>
        </w:rPr>
      </w:pPr>
      <w:r w:rsidRPr="005D3CD5">
        <w:rPr>
          <w:lang w:val="pt-PT"/>
        </w:rPr>
        <w:br w:type="page"/>
      </w:r>
      <w:r w:rsidR="006940DD" w:rsidRPr="005D3CD5">
        <w:rPr>
          <w:rFonts w:ascii="Times New Roman" w:eastAsiaTheme="minorHAnsi" w:hAnsi="Times New Roman" w:cs="Times New Roman"/>
          <w:b/>
          <w:bCs/>
          <w:caps/>
          <w:color w:val="000000"/>
          <w:szCs w:val="24"/>
        </w:rPr>
        <w:lastRenderedPageBreak/>
        <w:t>ANNEXE</w:t>
      </w:r>
    </w:p>
    <w:tbl>
      <w:tblPr>
        <w:tblStyle w:val="ECHRListTable"/>
        <w:tblW w:w="0" w:type="auto"/>
        <w:tblLook w:val="05E0" w:firstRow="1" w:lastRow="1" w:firstColumn="1" w:lastColumn="1" w:noHBand="0" w:noVBand="1"/>
      </w:tblPr>
      <w:tblGrid>
        <w:gridCol w:w="493"/>
        <w:gridCol w:w="1316"/>
        <w:gridCol w:w="1398"/>
        <w:gridCol w:w="2222"/>
        <w:gridCol w:w="2145"/>
      </w:tblGrid>
      <w:tr w:rsidR="00476BDB" w:rsidRPr="005D3CD5" w:rsidTr="006C1A78">
        <w:trPr>
          <w:cnfStyle w:val="100000000000" w:firstRow="1" w:lastRow="0" w:firstColumn="0" w:lastColumn="0" w:oddVBand="0" w:evenVBand="0" w:oddHBand="0" w:evenHBand="0" w:firstRowFirstColumn="0" w:firstRowLastColumn="0" w:lastRowFirstColumn="0" w:lastRowLastColumn="0"/>
        </w:trPr>
        <w:tc>
          <w:tcPr>
            <w:tcW w:w="504" w:type="dxa"/>
          </w:tcPr>
          <w:p w:rsidR="00476BDB" w:rsidRPr="005D3CD5" w:rsidRDefault="00476BDB" w:rsidP="005D3CD5">
            <w:pPr>
              <w:rPr>
                <w:rFonts w:cstheme="minorHAnsi"/>
              </w:rPr>
            </w:pPr>
            <w:r w:rsidRPr="005D3CD5">
              <w:rPr>
                <w:rFonts w:cstheme="minorHAnsi"/>
              </w:rPr>
              <w:t>N</w:t>
            </w:r>
            <w:r w:rsidR="00B504CC" w:rsidRPr="005D3CD5">
              <w:rPr>
                <w:rFonts w:cstheme="minorHAnsi"/>
                <w:vertAlign w:val="superscript"/>
              </w:rPr>
              <w:t>o</w:t>
            </w:r>
          </w:p>
        </w:tc>
        <w:tc>
          <w:tcPr>
            <w:tcW w:w="1440" w:type="dxa"/>
          </w:tcPr>
          <w:p w:rsidR="00476BDB" w:rsidRPr="005D3CD5" w:rsidRDefault="00476BDB" w:rsidP="005D3CD5">
            <w:pPr>
              <w:rPr>
                <w:rFonts w:cstheme="minorHAnsi"/>
              </w:rPr>
            </w:pPr>
            <w:r w:rsidRPr="005D3CD5">
              <w:rPr>
                <w:rFonts w:cstheme="minorHAnsi"/>
              </w:rPr>
              <w:t>Requête N</w:t>
            </w:r>
            <w:r w:rsidR="00B504CC" w:rsidRPr="005D3CD5">
              <w:rPr>
                <w:rFonts w:cstheme="minorHAnsi"/>
                <w:vertAlign w:val="superscript"/>
              </w:rPr>
              <w:t>o</w:t>
            </w:r>
          </w:p>
        </w:tc>
        <w:tc>
          <w:tcPr>
            <w:tcW w:w="1440" w:type="dxa"/>
          </w:tcPr>
          <w:p w:rsidR="00476BDB" w:rsidRPr="005D3CD5" w:rsidRDefault="00476BDB" w:rsidP="005D3CD5">
            <w:pPr>
              <w:rPr>
                <w:rFonts w:cstheme="minorHAnsi"/>
              </w:rPr>
            </w:pPr>
            <w:r w:rsidRPr="005D3CD5">
              <w:rPr>
                <w:rFonts w:cstheme="minorHAnsi"/>
              </w:rPr>
              <w:t>Introduite le</w:t>
            </w:r>
          </w:p>
        </w:tc>
        <w:tc>
          <w:tcPr>
            <w:tcW w:w="2517" w:type="dxa"/>
          </w:tcPr>
          <w:p w:rsidR="00476BDB" w:rsidRPr="005D3CD5" w:rsidRDefault="00476BDB" w:rsidP="005D3CD5">
            <w:pPr>
              <w:rPr>
                <w:rFonts w:cstheme="minorHAnsi"/>
                <w:lang w:val="fr-FR"/>
              </w:rPr>
            </w:pPr>
            <w:r w:rsidRPr="005D3CD5">
              <w:rPr>
                <w:rFonts w:cstheme="minorHAnsi"/>
                <w:lang w:val="fr-FR"/>
              </w:rPr>
              <w:t>Requérant</w:t>
            </w:r>
          </w:p>
          <w:p w:rsidR="00476BDB" w:rsidRPr="005D3CD5" w:rsidRDefault="00476BDB" w:rsidP="005D3CD5">
            <w:pPr>
              <w:rPr>
                <w:rFonts w:cstheme="minorHAnsi"/>
                <w:lang w:val="fr-FR"/>
              </w:rPr>
            </w:pPr>
            <w:r w:rsidRPr="005D3CD5">
              <w:rPr>
                <w:rFonts w:cstheme="minorHAnsi"/>
                <w:lang w:val="fr-FR"/>
              </w:rPr>
              <w:t>Date de naissance</w:t>
            </w:r>
          </w:p>
          <w:p w:rsidR="00476BDB" w:rsidRPr="005D3CD5" w:rsidRDefault="00476BDB" w:rsidP="005D3CD5">
            <w:pPr>
              <w:rPr>
                <w:rFonts w:cstheme="minorHAnsi"/>
                <w:lang w:val="fr-FR"/>
              </w:rPr>
            </w:pPr>
            <w:r w:rsidRPr="005D3CD5">
              <w:rPr>
                <w:rFonts w:cstheme="minorHAnsi"/>
                <w:lang w:val="fr-FR"/>
              </w:rPr>
              <w:t>Lieu de résidence</w:t>
            </w:r>
          </w:p>
        </w:tc>
        <w:tc>
          <w:tcPr>
            <w:tcW w:w="2517" w:type="dxa"/>
          </w:tcPr>
          <w:p w:rsidR="00476BDB" w:rsidRPr="005D3CD5" w:rsidRDefault="00476BDB" w:rsidP="005D3CD5">
            <w:pPr>
              <w:rPr>
                <w:rFonts w:cstheme="minorHAnsi"/>
              </w:rPr>
            </w:pPr>
            <w:r w:rsidRPr="005D3CD5">
              <w:rPr>
                <w:rFonts w:cstheme="minorHAnsi"/>
              </w:rPr>
              <w:t>Représenté par</w:t>
            </w:r>
          </w:p>
        </w:tc>
      </w:tr>
      <w:tr w:rsidR="00476BDB" w:rsidRPr="005D3CD5" w:rsidTr="006C1A78">
        <w:tc>
          <w:tcPr>
            <w:tcW w:w="504" w:type="dxa"/>
          </w:tcPr>
          <w:p w:rsidR="00476BDB" w:rsidRPr="005D3CD5" w:rsidRDefault="00476BDB" w:rsidP="005D3CD5">
            <w:pPr>
              <w:pStyle w:val="Paragrafoelenco"/>
              <w:numPr>
                <w:ilvl w:val="0"/>
                <w:numId w:val="14"/>
              </w:numPr>
              <w:tabs>
                <w:tab w:val="num" w:pos="283"/>
              </w:tabs>
              <w:ind w:left="0" w:firstLine="0"/>
              <w:rPr>
                <w:rFonts w:cstheme="minorHAnsi"/>
                <w:lang w:val="en-GB"/>
              </w:rPr>
            </w:pPr>
          </w:p>
        </w:tc>
        <w:tc>
          <w:tcPr>
            <w:tcW w:w="1440" w:type="dxa"/>
          </w:tcPr>
          <w:p w:rsidR="00476BDB" w:rsidRPr="005D3CD5" w:rsidRDefault="00476BDB" w:rsidP="005D3CD5">
            <w:pPr>
              <w:rPr>
                <w:rFonts w:cstheme="minorHAnsi"/>
              </w:rPr>
            </w:pPr>
            <w:r w:rsidRPr="005D3CD5">
              <w:rPr>
                <w:rFonts w:cstheme="minorHAnsi"/>
              </w:rPr>
              <w:t>3342/11</w:t>
            </w:r>
          </w:p>
        </w:tc>
        <w:tc>
          <w:tcPr>
            <w:tcW w:w="1440" w:type="dxa"/>
          </w:tcPr>
          <w:p w:rsidR="00476BDB" w:rsidRPr="005D3CD5" w:rsidRDefault="00476BDB" w:rsidP="005D3CD5">
            <w:pPr>
              <w:rPr>
                <w:rFonts w:cstheme="minorHAnsi"/>
              </w:rPr>
            </w:pPr>
            <w:r w:rsidRPr="005D3CD5">
              <w:rPr>
                <w:rFonts w:cstheme="minorHAnsi"/>
              </w:rPr>
              <w:t>26/11/2010</w:t>
            </w:r>
          </w:p>
        </w:tc>
        <w:tc>
          <w:tcPr>
            <w:tcW w:w="2517" w:type="dxa"/>
          </w:tcPr>
          <w:p w:rsidR="009F210B" w:rsidRPr="005D3CD5" w:rsidRDefault="00476BDB" w:rsidP="005D3CD5">
            <w:pPr>
              <w:rPr>
                <w:rFonts w:cstheme="minorHAnsi"/>
                <w:b/>
              </w:rPr>
            </w:pPr>
            <w:r w:rsidRPr="005D3CD5">
              <w:rPr>
                <w:rFonts w:cstheme="minorHAnsi"/>
                <w:b/>
              </w:rPr>
              <w:t>Taky Berko</w:t>
            </w:r>
          </w:p>
          <w:p w:rsidR="009F210B" w:rsidRPr="005D3CD5" w:rsidRDefault="00476BDB" w:rsidP="005D3CD5">
            <w:pPr>
              <w:rPr>
                <w:rFonts w:cstheme="minorHAnsi"/>
                <w:b/>
              </w:rPr>
            </w:pPr>
            <w:r w:rsidRPr="005D3CD5">
              <w:rPr>
                <w:rFonts w:cstheme="minorHAnsi"/>
                <w:b/>
              </w:rPr>
              <w:t>RICHMOND YAW</w:t>
            </w:r>
          </w:p>
          <w:p w:rsidR="00476BDB" w:rsidRPr="005D3CD5" w:rsidRDefault="00476BDB" w:rsidP="005D3CD5">
            <w:pPr>
              <w:rPr>
                <w:rFonts w:cstheme="minorHAnsi"/>
              </w:rPr>
            </w:pPr>
            <w:r w:rsidRPr="005D3CD5">
              <w:rPr>
                <w:rFonts w:cstheme="minorHAnsi"/>
              </w:rPr>
              <w:t>07/04/1974</w:t>
            </w:r>
          </w:p>
          <w:p w:rsidR="00476BDB" w:rsidRPr="005D3CD5" w:rsidRDefault="00476BDB" w:rsidP="005D3CD5">
            <w:pPr>
              <w:rPr>
                <w:rFonts w:cstheme="minorHAnsi"/>
              </w:rPr>
            </w:pPr>
            <w:r w:rsidRPr="005D3CD5">
              <w:rPr>
                <w:rFonts w:cstheme="minorHAnsi"/>
              </w:rPr>
              <w:t>Castel Volturno</w:t>
            </w:r>
          </w:p>
          <w:p w:rsidR="00476BDB" w:rsidRPr="005D3CD5" w:rsidRDefault="00476BDB" w:rsidP="005D3CD5">
            <w:pPr>
              <w:rPr>
                <w:rFonts w:cstheme="minorHAnsi"/>
              </w:rPr>
            </w:pPr>
          </w:p>
        </w:tc>
        <w:tc>
          <w:tcPr>
            <w:tcW w:w="2517" w:type="dxa"/>
          </w:tcPr>
          <w:p w:rsidR="00476BDB" w:rsidRPr="005D3CD5" w:rsidRDefault="00476BDB" w:rsidP="005D3CD5">
            <w:pPr>
              <w:rPr>
                <w:rFonts w:cstheme="minorHAnsi"/>
              </w:rPr>
            </w:pPr>
            <w:r w:rsidRPr="005D3CD5">
              <w:rPr>
                <w:rFonts w:cstheme="minorHAnsi"/>
              </w:rPr>
              <w:t>Alessandro FERRARA</w:t>
            </w:r>
          </w:p>
        </w:tc>
      </w:tr>
      <w:tr w:rsidR="00476BDB" w:rsidRPr="005D3CD5" w:rsidTr="006C1A78">
        <w:tc>
          <w:tcPr>
            <w:tcW w:w="504" w:type="dxa"/>
          </w:tcPr>
          <w:p w:rsidR="00476BDB" w:rsidRPr="005D3CD5" w:rsidRDefault="00476BDB" w:rsidP="005D3CD5">
            <w:pPr>
              <w:pStyle w:val="Paragrafoelenco"/>
              <w:numPr>
                <w:ilvl w:val="0"/>
                <w:numId w:val="14"/>
              </w:numPr>
              <w:tabs>
                <w:tab w:val="num" w:pos="283"/>
              </w:tabs>
              <w:ind w:left="0" w:firstLine="0"/>
              <w:rPr>
                <w:rFonts w:cstheme="minorHAnsi"/>
                <w:lang w:val="en-GB"/>
              </w:rPr>
            </w:pPr>
          </w:p>
        </w:tc>
        <w:tc>
          <w:tcPr>
            <w:tcW w:w="1440" w:type="dxa"/>
          </w:tcPr>
          <w:p w:rsidR="00476BDB" w:rsidRPr="005D3CD5" w:rsidRDefault="00476BDB" w:rsidP="005D3CD5">
            <w:pPr>
              <w:rPr>
                <w:rFonts w:cstheme="minorHAnsi"/>
              </w:rPr>
            </w:pPr>
            <w:r w:rsidRPr="005D3CD5">
              <w:rPr>
                <w:rFonts w:cstheme="minorHAnsi"/>
              </w:rPr>
              <w:t>3391/11</w:t>
            </w:r>
          </w:p>
        </w:tc>
        <w:tc>
          <w:tcPr>
            <w:tcW w:w="1440" w:type="dxa"/>
          </w:tcPr>
          <w:p w:rsidR="00476BDB" w:rsidRPr="005D3CD5" w:rsidRDefault="00476BDB" w:rsidP="005D3CD5">
            <w:pPr>
              <w:rPr>
                <w:rFonts w:cstheme="minorHAnsi"/>
              </w:rPr>
            </w:pPr>
            <w:r w:rsidRPr="005D3CD5">
              <w:rPr>
                <w:rFonts w:cstheme="minorHAnsi"/>
              </w:rPr>
              <w:t>26/11/2010</w:t>
            </w:r>
          </w:p>
        </w:tc>
        <w:tc>
          <w:tcPr>
            <w:tcW w:w="2517" w:type="dxa"/>
          </w:tcPr>
          <w:p w:rsidR="009F210B" w:rsidRPr="005D3CD5" w:rsidRDefault="00476BDB" w:rsidP="005D3CD5">
            <w:pPr>
              <w:rPr>
                <w:rFonts w:cstheme="minorHAnsi"/>
                <w:b/>
              </w:rPr>
            </w:pPr>
            <w:r w:rsidRPr="005D3CD5">
              <w:rPr>
                <w:rFonts w:cstheme="minorHAnsi"/>
                <w:b/>
              </w:rPr>
              <w:t>Yaw ANSU</w:t>
            </w:r>
          </w:p>
          <w:p w:rsidR="009F210B" w:rsidRPr="005D3CD5" w:rsidRDefault="00476BDB" w:rsidP="005D3CD5">
            <w:pPr>
              <w:rPr>
                <w:rFonts w:cstheme="minorHAnsi"/>
                <w:b/>
              </w:rPr>
            </w:pPr>
            <w:r w:rsidRPr="005D3CD5">
              <w:rPr>
                <w:rFonts w:cstheme="minorHAnsi"/>
                <w:b/>
              </w:rPr>
              <w:t>MATTHEW</w:t>
            </w:r>
          </w:p>
          <w:p w:rsidR="00476BDB" w:rsidRPr="005D3CD5" w:rsidRDefault="00476BDB" w:rsidP="005D3CD5">
            <w:pPr>
              <w:rPr>
                <w:rFonts w:cstheme="minorHAnsi"/>
              </w:rPr>
            </w:pPr>
            <w:r w:rsidRPr="005D3CD5">
              <w:rPr>
                <w:rFonts w:cstheme="minorHAnsi"/>
              </w:rPr>
              <w:t>10/06/1983</w:t>
            </w:r>
          </w:p>
          <w:p w:rsidR="00476BDB" w:rsidRPr="005D3CD5" w:rsidRDefault="00476BDB" w:rsidP="005D3CD5">
            <w:pPr>
              <w:rPr>
                <w:rFonts w:cstheme="minorHAnsi"/>
              </w:rPr>
            </w:pPr>
            <w:r w:rsidRPr="005D3CD5">
              <w:rPr>
                <w:rFonts w:cstheme="minorHAnsi"/>
              </w:rPr>
              <w:t>Castel Volturno</w:t>
            </w:r>
          </w:p>
          <w:p w:rsidR="00476BDB" w:rsidRPr="005D3CD5" w:rsidRDefault="00476BDB" w:rsidP="005D3CD5">
            <w:pPr>
              <w:rPr>
                <w:rFonts w:cstheme="minorHAnsi"/>
              </w:rPr>
            </w:pPr>
          </w:p>
        </w:tc>
        <w:tc>
          <w:tcPr>
            <w:tcW w:w="2517" w:type="dxa"/>
          </w:tcPr>
          <w:p w:rsidR="00476BDB" w:rsidRPr="005D3CD5" w:rsidRDefault="00476BDB" w:rsidP="005D3CD5">
            <w:pPr>
              <w:rPr>
                <w:rFonts w:cstheme="minorHAnsi"/>
              </w:rPr>
            </w:pPr>
            <w:r w:rsidRPr="005D3CD5">
              <w:rPr>
                <w:rFonts w:cstheme="minorHAnsi"/>
              </w:rPr>
              <w:t>Alessandro FERRARA</w:t>
            </w:r>
          </w:p>
        </w:tc>
      </w:tr>
      <w:tr w:rsidR="00476BDB" w:rsidRPr="005D3CD5" w:rsidTr="006C1A78">
        <w:tc>
          <w:tcPr>
            <w:tcW w:w="504" w:type="dxa"/>
          </w:tcPr>
          <w:p w:rsidR="00476BDB" w:rsidRPr="005D3CD5" w:rsidRDefault="00476BDB" w:rsidP="005D3CD5">
            <w:pPr>
              <w:pStyle w:val="Paragrafoelenco"/>
              <w:numPr>
                <w:ilvl w:val="0"/>
                <w:numId w:val="14"/>
              </w:numPr>
              <w:tabs>
                <w:tab w:val="num" w:pos="283"/>
              </w:tabs>
              <w:ind w:left="0" w:firstLine="0"/>
              <w:rPr>
                <w:rFonts w:cstheme="minorHAnsi"/>
                <w:lang w:val="en-GB"/>
              </w:rPr>
            </w:pPr>
          </w:p>
        </w:tc>
        <w:tc>
          <w:tcPr>
            <w:tcW w:w="1440" w:type="dxa"/>
          </w:tcPr>
          <w:p w:rsidR="00476BDB" w:rsidRPr="005D3CD5" w:rsidRDefault="00476BDB" w:rsidP="005D3CD5">
            <w:pPr>
              <w:rPr>
                <w:rFonts w:cstheme="minorHAnsi"/>
              </w:rPr>
            </w:pPr>
            <w:r w:rsidRPr="005D3CD5">
              <w:rPr>
                <w:rFonts w:cstheme="minorHAnsi"/>
              </w:rPr>
              <w:t>3408/11</w:t>
            </w:r>
          </w:p>
        </w:tc>
        <w:tc>
          <w:tcPr>
            <w:tcW w:w="1440" w:type="dxa"/>
          </w:tcPr>
          <w:p w:rsidR="00476BDB" w:rsidRPr="005D3CD5" w:rsidRDefault="00476BDB" w:rsidP="005D3CD5">
            <w:pPr>
              <w:rPr>
                <w:rFonts w:cstheme="minorHAnsi"/>
              </w:rPr>
            </w:pPr>
            <w:r w:rsidRPr="005D3CD5">
              <w:rPr>
                <w:rFonts w:cstheme="minorHAnsi"/>
              </w:rPr>
              <w:t>26/11/2010</w:t>
            </w:r>
          </w:p>
        </w:tc>
        <w:tc>
          <w:tcPr>
            <w:tcW w:w="2517" w:type="dxa"/>
          </w:tcPr>
          <w:p w:rsidR="009F210B" w:rsidRPr="005D3CD5" w:rsidRDefault="00476BDB" w:rsidP="005D3CD5">
            <w:pPr>
              <w:rPr>
                <w:rFonts w:cstheme="minorHAnsi"/>
                <w:b/>
              </w:rPr>
            </w:pPr>
            <w:r w:rsidRPr="005D3CD5">
              <w:rPr>
                <w:rFonts w:cstheme="minorHAnsi"/>
                <w:b/>
              </w:rPr>
              <w:t>Darke Isaac</w:t>
            </w:r>
          </w:p>
          <w:p w:rsidR="009F210B" w:rsidRPr="005D3CD5" w:rsidRDefault="00476BDB" w:rsidP="005D3CD5">
            <w:pPr>
              <w:rPr>
                <w:rFonts w:cstheme="minorHAnsi"/>
                <w:b/>
              </w:rPr>
            </w:pPr>
            <w:r w:rsidRPr="005D3CD5">
              <w:rPr>
                <w:rFonts w:cstheme="minorHAnsi"/>
                <w:b/>
              </w:rPr>
              <w:t>KWADWO</w:t>
            </w:r>
          </w:p>
          <w:p w:rsidR="00476BDB" w:rsidRPr="005D3CD5" w:rsidRDefault="00476BDB" w:rsidP="005D3CD5">
            <w:pPr>
              <w:rPr>
                <w:rFonts w:cstheme="minorHAnsi"/>
              </w:rPr>
            </w:pPr>
            <w:r w:rsidRPr="005D3CD5">
              <w:rPr>
                <w:rFonts w:cstheme="minorHAnsi"/>
              </w:rPr>
              <w:t>04/08/1979</w:t>
            </w:r>
          </w:p>
          <w:p w:rsidR="00476BDB" w:rsidRPr="005D3CD5" w:rsidRDefault="00476BDB" w:rsidP="005D3CD5">
            <w:pPr>
              <w:rPr>
                <w:rFonts w:cstheme="minorHAnsi"/>
              </w:rPr>
            </w:pPr>
            <w:r w:rsidRPr="005D3CD5">
              <w:rPr>
                <w:rFonts w:cstheme="minorHAnsi"/>
              </w:rPr>
              <w:t>Castel Volturno</w:t>
            </w:r>
          </w:p>
          <w:p w:rsidR="00476BDB" w:rsidRPr="005D3CD5" w:rsidRDefault="00476BDB" w:rsidP="005D3CD5">
            <w:pPr>
              <w:rPr>
                <w:rFonts w:cstheme="minorHAnsi"/>
              </w:rPr>
            </w:pPr>
          </w:p>
        </w:tc>
        <w:tc>
          <w:tcPr>
            <w:tcW w:w="2517" w:type="dxa"/>
          </w:tcPr>
          <w:p w:rsidR="00476BDB" w:rsidRPr="005D3CD5" w:rsidRDefault="00476BDB" w:rsidP="005D3CD5">
            <w:pPr>
              <w:rPr>
                <w:rFonts w:cstheme="minorHAnsi"/>
              </w:rPr>
            </w:pPr>
            <w:r w:rsidRPr="005D3CD5">
              <w:rPr>
                <w:rFonts w:cstheme="minorHAnsi"/>
              </w:rPr>
              <w:t>Alessandro FERRARA</w:t>
            </w:r>
          </w:p>
        </w:tc>
      </w:tr>
      <w:tr w:rsidR="00476BDB" w:rsidRPr="005D3CD5" w:rsidTr="006C1A78">
        <w:tc>
          <w:tcPr>
            <w:tcW w:w="504" w:type="dxa"/>
          </w:tcPr>
          <w:p w:rsidR="00476BDB" w:rsidRPr="005D3CD5" w:rsidRDefault="00476BDB" w:rsidP="005D3CD5">
            <w:pPr>
              <w:pStyle w:val="Paragrafoelenco"/>
              <w:numPr>
                <w:ilvl w:val="0"/>
                <w:numId w:val="14"/>
              </w:numPr>
              <w:tabs>
                <w:tab w:val="num" w:pos="283"/>
              </w:tabs>
              <w:ind w:left="0" w:firstLine="0"/>
              <w:rPr>
                <w:rFonts w:cstheme="minorHAnsi"/>
                <w:lang w:val="en-GB"/>
              </w:rPr>
            </w:pPr>
          </w:p>
        </w:tc>
        <w:tc>
          <w:tcPr>
            <w:tcW w:w="1440" w:type="dxa"/>
          </w:tcPr>
          <w:p w:rsidR="00476BDB" w:rsidRPr="005D3CD5" w:rsidRDefault="00476BDB" w:rsidP="005D3CD5">
            <w:pPr>
              <w:rPr>
                <w:rFonts w:cstheme="minorHAnsi"/>
              </w:rPr>
            </w:pPr>
            <w:r w:rsidRPr="005D3CD5">
              <w:rPr>
                <w:rFonts w:cstheme="minorHAnsi"/>
              </w:rPr>
              <w:t>3447/11</w:t>
            </w:r>
          </w:p>
        </w:tc>
        <w:tc>
          <w:tcPr>
            <w:tcW w:w="1440" w:type="dxa"/>
          </w:tcPr>
          <w:p w:rsidR="00476BDB" w:rsidRPr="005D3CD5" w:rsidRDefault="00476BDB" w:rsidP="005D3CD5">
            <w:pPr>
              <w:rPr>
                <w:rFonts w:cstheme="minorHAnsi"/>
              </w:rPr>
            </w:pPr>
            <w:r w:rsidRPr="005D3CD5">
              <w:rPr>
                <w:rFonts w:cstheme="minorHAnsi"/>
              </w:rPr>
              <w:t>26/11/2010</w:t>
            </w:r>
          </w:p>
        </w:tc>
        <w:tc>
          <w:tcPr>
            <w:tcW w:w="2517" w:type="dxa"/>
          </w:tcPr>
          <w:p w:rsidR="009F210B" w:rsidRPr="005D3CD5" w:rsidRDefault="009F210B" w:rsidP="005D3CD5">
            <w:pPr>
              <w:rPr>
                <w:rFonts w:cstheme="minorHAnsi"/>
                <w:b/>
              </w:rPr>
            </w:pPr>
            <w:r w:rsidRPr="005D3CD5">
              <w:rPr>
                <w:rFonts w:cstheme="minorHAnsi"/>
                <w:b/>
              </w:rPr>
              <w:t>Dominic</w:t>
            </w:r>
          </w:p>
          <w:p w:rsidR="009F210B" w:rsidRPr="005D3CD5" w:rsidRDefault="00476BDB" w:rsidP="005D3CD5">
            <w:pPr>
              <w:rPr>
                <w:rFonts w:cstheme="minorHAnsi"/>
                <w:b/>
              </w:rPr>
            </w:pPr>
            <w:r w:rsidRPr="005D3CD5">
              <w:rPr>
                <w:rFonts w:cstheme="minorHAnsi"/>
                <w:b/>
              </w:rPr>
              <w:t>TWUMASI</w:t>
            </w:r>
          </w:p>
          <w:p w:rsidR="00476BDB" w:rsidRPr="005D3CD5" w:rsidRDefault="00476BDB" w:rsidP="005D3CD5">
            <w:pPr>
              <w:rPr>
                <w:rFonts w:cstheme="minorHAnsi"/>
              </w:rPr>
            </w:pPr>
            <w:r w:rsidRPr="005D3CD5">
              <w:rPr>
                <w:rFonts w:cstheme="minorHAnsi"/>
              </w:rPr>
              <w:t>23/05/1986</w:t>
            </w:r>
          </w:p>
          <w:p w:rsidR="00476BDB" w:rsidRPr="005D3CD5" w:rsidRDefault="00476BDB" w:rsidP="005D3CD5">
            <w:pPr>
              <w:rPr>
                <w:rFonts w:cstheme="minorHAnsi"/>
              </w:rPr>
            </w:pPr>
            <w:r w:rsidRPr="005D3CD5">
              <w:rPr>
                <w:rFonts w:cstheme="minorHAnsi"/>
              </w:rPr>
              <w:t>Castel Volturno</w:t>
            </w:r>
          </w:p>
        </w:tc>
        <w:tc>
          <w:tcPr>
            <w:tcW w:w="2517" w:type="dxa"/>
          </w:tcPr>
          <w:p w:rsidR="00476BDB" w:rsidRPr="005D3CD5" w:rsidRDefault="00476BDB" w:rsidP="005D3CD5">
            <w:pPr>
              <w:rPr>
                <w:rFonts w:cstheme="minorHAnsi"/>
              </w:rPr>
            </w:pPr>
            <w:r w:rsidRPr="005D3CD5">
              <w:rPr>
                <w:rFonts w:cstheme="minorHAnsi"/>
              </w:rPr>
              <w:t>Alessandro FERRARA</w:t>
            </w:r>
            <w:bookmarkStart w:id="5" w:name="TableEnd"/>
            <w:bookmarkEnd w:id="5"/>
          </w:p>
        </w:tc>
      </w:tr>
    </w:tbl>
    <w:p w:rsidR="006940DD" w:rsidRPr="005D3CD5" w:rsidRDefault="006940DD" w:rsidP="005D3CD5">
      <w:pPr>
        <w:autoSpaceDE w:val="0"/>
        <w:autoSpaceDN w:val="0"/>
        <w:adjustRightInd w:val="0"/>
        <w:rPr>
          <w:rFonts w:ascii="Times New Roman" w:eastAsiaTheme="minorHAnsi" w:hAnsi="Times New Roman" w:cs="Times New Roman"/>
          <w:color w:val="000000"/>
          <w:szCs w:val="24"/>
        </w:rPr>
      </w:pPr>
    </w:p>
    <w:sectPr w:rsidR="006940DD" w:rsidRPr="005D3CD5" w:rsidSect="00B504CC">
      <w:headerReference w:type="default"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A4" w:rsidRPr="009C5881" w:rsidRDefault="005456A4" w:rsidP="00E77CB3">
      <w:pPr>
        <w:rPr>
          <w:lang w:val="fr-FR"/>
        </w:rPr>
      </w:pPr>
      <w:r w:rsidRPr="009C5881">
        <w:rPr>
          <w:lang w:val="fr-FR"/>
        </w:rPr>
        <w:separator/>
      </w:r>
    </w:p>
  </w:endnote>
  <w:endnote w:type="continuationSeparator" w:id="0">
    <w:p w:rsidR="005456A4" w:rsidRPr="009C5881" w:rsidRDefault="005456A4" w:rsidP="00E77CB3">
      <w:pPr>
        <w:rPr>
          <w:lang w:val="fr-FR"/>
        </w:rPr>
      </w:pPr>
      <w:r w:rsidRPr="009C588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7B" w:rsidRDefault="009D367B" w:rsidP="009D367B">
    <w:pPr>
      <w:pStyle w:val="Pidipagina"/>
      <w:jc w:val="center"/>
    </w:pPr>
    <w:r>
      <w:rPr>
        <w:noProof/>
        <w:lang w:val="it-IT" w:eastAsia="it-IT"/>
      </w:rPr>
      <w:drawing>
        <wp:inline distT="0" distB="0" distL="0" distR="0" wp14:anchorId="0162892D" wp14:editId="3C352C8F">
          <wp:extent cx="771525" cy="619125"/>
          <wp:effectExtent l="0" t="0" r="9525" b="9525"/>
          <wp:docPr id="27" name="Picture 2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7B" w:rsidRDefault="009D36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A4" w:rsidRPr="009C5881" w:rsidRDefault="005456A4" w:rsidP="00E77CB3">
      <w:pPr>
        <w:rPr>
          <w:lang w:val="fr-FR"/>
        </w:rPr>
      </w:pPr>
      <w:r w:rsidRPr="009C5881">
        <w:rPr>
          <w:lang w:val="fr-FR"/>
        </w:rPr>
        <w:separator/>
      </w:r>
    </w:p>
  </w:footnote>
  <w:footnote w:type="continuationSeparator" w:id="0">
    <w:p w:rsidR="005456A4" w:rsidRPr="009C5881" w:rsidRDefault="005456A4" w:rsidP="00E77CB3">
      <w:pPr>
        <w:rPr>
          <w:lang w:val="fr-FR"/>
        </w:rPr>
      </w:pPr>
      <w:r w:rsidRPr="009C588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4CC" w:rsidRPr="009C5881" w:rsidRDefault="00B504CC" w:rsidP="00C611D8">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0F692D">
      <w:rPr>
        <w:rStyle w:val="Numeropagina"/>
        <w:noProof/>
        <w:lang w:val="fr-FR"/>
      </w:rPr>
      <w:t>18</w:t>
    </w:r>
    <w:r>
      <w:rPr>
        <w:rStyle w:val="Numeropagina"/>
        <w:lang w:val="fr-FR"/>
      </w:rPr>
      <w:fldChar w:fldCharType="end"/>
    </w:r>
    <w:r w:rsidRPr="009C5881">
      <w:rPr>
        <w:rStyle w:val="Numeropagina"/>
        <w:lang w:val="fr-FR"/>
      </w:rPr>
      <w:tab/>
    </w:r>
    <w:r w:rsidR="002A7455" w:rsidRPr="002A7455">
      <w:rPr>
        <w:noProof/>
        <w:lang w:val="fr-FR"/>
      </w:rPr>
      <w:t>ARRÊT</w:t>
    </w:r>
    <w:r w:rsidRPr="009C5881">
      <w:rPr>
        <w:lang w:val="fr-FR"/>
      </w:rPr>
      <w:t xml:space="preserve"> – </w:t>
    </w:r>
    <w:r>
      <w:rPr>
        <w:lang w:val="fr-FR"/>
      </w:rPr>
      <w:t>RICHMOND YAW ET AUTRES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55" w:rsidRDefault="002A7455" w:rsidP="00370754">
    <w:pPr>
      <w:pStyle w:val="ECHRCoverTitle1"/>
    </w:pPr>
    <w:r>
      <w:rPr>
        <w:noProof/>
        <w:lang w:val="it-IT" w:eastAsia="it-IT"/>
      </w:rPr>
      <w:drawing>
        <wp:inline distT="0" distB="0" distL="0" distR="0" wp14:anchorId="656A423C" wp14:editId="387BD336">
          <wp:extent cx="2959614" cy="1219202"/>
          <wp:effectExtent l="0" t="0" r="0"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614" cy="1219202"/>
                  </a:xfrm>
                  <a:prstGeom prst="rect">
                    <a:avLst/>
                  </a:prstGeom>
                  <a:noFill/>
                  <a:ln>
                    <a:noFill/>
                  </a:ln>
                </pic:spPr>
              </pic:pic>
            </a:graphicData>
          </a:graphic>
        </wp:inline>
      </w:drawing>
    </w:r>
  </w:p>
  <w:p w:rsidR="00B504CC" w:rsidRPr="009C5881" w:rsidRDefault="00B504CC" w:rsidP="00C63990">
    <w:pPr>
      <w:pStyle w:val="ECHR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55" w:rsidRPr="009C5881" w:rsidRDefault="002A7455" w:rsidP="00C63990">
    <w:pPr>
      <w:pStyle w:val="ECHRHeader"/>
      <w:rPr>
        <w:lang w:val="fr-FR"/>
      </w:rPr>
    </w:pPr>
    <w:r w:rsidRPr="009C5881">
      <w:rPr>
        <w:lang w:val="fr-FR"/>
      </w:rPr>
      <w:tab/>
    </w:r>
    <w:r w:rsidRPr="002A7455">
      <w:rPr>
        <w:noProof/>
        <w:lang w:val="fr-FR"/>
      </w:rPr>
      <w:t>ARRÊT</w:t>
    </w:r>
    <w:r w:rsidRPr="009C5881">
      <w:rPr>
        <w:lang w:val="fr-FR"/>
      </w:rPr>
      <w:t xml:space="preserve"> – </w:t>
    </w:r>
    <w:r>
      <w:rPr>
        <w:lang w:val="fr-FR"/>
      </w:rPr>
      <w:t>RICHMOND YAW ET AUTRES c. ITALIE</w:t>
    </w:r>
    <w:r w:rsidRPr="009C5881">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0F692D">
      <w:rPr>
        <w:rStyle w:val="Numeropagina"/>
        <w:noProof/>
        <w:lang w:val="fr-FR"/>
      </w:rPr>
      <w:t>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F74D24"/>
    <w:multiLevelType w:val="hybridMultilevel"/>
    <w:tmpl w:val="4F06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411061"/>
    <w:rsid w:val="00000D3C"/>
    <w:rsid w:val="000041F8"/>
    <w:rsid w:val="000042A8"/>
    <w:rsid w:val="00004308"/>
    <w:rsid w:val="00004AC4"/>
    <w:rsid w:val="00005BF0"/>
    <w:rsid w:val="00007154"/>
    <w:rsid w:val="000103AE"/>
    <w:rsid w:val="000106C0"/>
    <w:rsid w:val="00011D06"/>
    <w:rsid w:val="00011D69"/>
    <w:rsid w:val="00012AD3"/>
    <w:rsid w:val="00015C2D"/>
    <w:rsid w:val="00015F00"/>
    <w:rsid w:val="000162B7"/>
    <w:rsid w:val="00021874"/>
    <w:rsid w:val="00022C1D"/>
    <w:rsid w:val="00034987"/>
    <w:rsid w:val="00052FD4"/>
    <w:rsid w:val="00057CAA"/>
    <w:rsid w:val="000602DF"/>
    <w:rsid w:val="00061B05"/>
    <w:rsid w:val="00062E3B"/>
    <w:rsid w:val="000632D5"/>
    <w:rsid w:val="000644EE"/>
    <w:rsid w:val="00066A71"/>
    <w:rsid w:val="0006720F"/>
    <w:rsid w:val="00082867"/>
    <w:rsid w:val="00082A91"/>
    <w:rsid w:val="000925AD"/>
    <w:rsid w:val="000A0038"/>
    <w:rsid w:val="000A24EB"/>
    <w:rsid w:val="000A2DB9"/>
    <w:rsid w:val="000A2EDE"/>
    <w:rsid w:val="000B6923"/>
    <w:rsid w:val="000C00E7"/>
    <w:rsid w:val="000C2280"/>
    <w:rsid w:val="000C2734"/>
    <w:rsid w:val="000C5F3C"/>
    <w:rsid w:val="000C6DCC"/>
    <w:rsid w:val="000D20EA"/>
    <w:rsid w:val="000D47AA"/>
    <w:rsid w:val="000D4B11"/>
    <w:rsid w:val="000D721F"/>
    <w:rsid w:val="000E069B"/>
    <w:rsid w:val="000E0E82"/>
    <w:rsid w:val="000E1DC5"/>
    <w:rsid w:val="000E223F"/>
    <w:rsid w:val="000E6C04"/>
    <w:rsid w:val="000E7D45"/>
    <w:rsid w:val="000F00EF"/>
    <w:rsid w:val="000F33B0"/>
    <w:rsid w:val="000F4136"/>
    <w:rsid w:val="000F692D"/>
    <w:rsid w:val="000F7851"/>
    <w:rsid w:val="0010049E"/>
    <w:rsid w:val="00100788"/>
    <w:rsid w:val="00104775"/>
    <w:rsid w:val="00104E23"/>
    <w:rsid w:val="001072B4"/>
    <w:rsid w:val="001109C1"/>
    <w:rsid w:val="00111B0C"/>
    <w:rsid w:val="001138AC"/>
    <w:rsid w:val="00120D6C"/>
    <w:rsid w:val="00121C13"/>
    <w:rsid w:val="0012403B"/>
    <w:rsid w:val="001257EC"/>
    <w:rsid w:val="00126047"/>
    <w:rsid w:val="0012663C"/>
    <w:rsid w:val="001327B7"/>
    <w:rsid w:val="00132A77"/>
    <w:rsid w:val="00133D33"/>
    <w:rsid w:val="00134D64"/>
    <w:rsid w:val="00135A30"/>
    <w:rsid w:val="0013612C"/>
    <w:rsid w:val="00137FF6"/>
    <w:rsid w:val="0014003F"/>
    <w:rsid w:val="00141650"/>
    <w:rsid w:val="00144949"/>
    <w:rsid w:val="00145300"/>
    <w:rsid w:val="0014608E"/>
    <w:rsid w:val="00147638"/>
    <w:rsid w:val="001516A3"/>
    <w:rsid w:val="00152647"/>
    <w:rsid w:val="00156598"/>
    <w:rsid w:val="00161182"/>
    <w:rsid w:val="0016174F"/>
    <w:rsid w:val="00162A12"/>
    <w:rsid w:val="00166530"/>
    <w:rsid w:val="00171E16"/>
    <w:rsid w:val="00175972"/>
    <w:rsid w:val="001832BD"/>
    <w:rsid w:val="00186578"/>
    <w:rsid w:val="0019269C"/>
    <w:rsid w:val="001943B5"/>
    <w:rsid w:val="00194653"/>
    <w:rsid w:val="00195134"/>
    <w:rsid w:val="001A145B"/>
    <w:rsid w:val="001A52ED"/>
    <w:rsid w:val="001A674C"/>
    <w:rsid w:val="001A6F85"/>
    <w:rsid w:val="001B3B24"/>
    <w:rsid w:val="001B6771"/>
    <w:rsid w:val="001C0F98"/>
    <w:rsid w:val="001C2736"/>
    <w:rsid w:val="001C2A42"/>
    <w:rsid w:val="001C41FA"/>
    <w:rsid w:val="001C6F2C"/>
    <w:rsid w:val="001D450B"/>
    <w:rsid w:val="001D63ED"/>
    <w:rsid w:val="001D7348"/>
    <w:rsid w:val="001E035B"/>
    <w:rsid w:val="001E0961"/>
    <w:rsid w:val="001E243C"/>
    <w:rsid w:val="001E3A44"/>
    <w:rsid w:val="001E3EAE"/>
    <w:rsid w:val="001E6F32"/>
    <w:rsid w:val="001F009C"/>
    <w:rsid w:val="001F1ECC"/>
    <w:rsid w:val="001F2145"/>
    <w:rsid w:val="001F370A"/>
    <w:rsid w:val="001F4E43"/>
    <w:rsid w:val="001F6262"/>
    <w:rsid w:val="001F67B0"/>
    <w:rsid w:val="001F7B3D"/>
    <w:rsid w:val="00202DC4"/>
    <w:rsid w:val="00205F9F"/>
    <w:rsid w:val="00210338"/>
    <w:rsid w:val="00210A1E"/>
    <w:rsid w:val="002115FC"/>
    <w:rsid w:val="00212D13"/>
    <w:rsid w:val="0021423C"/>
    <w:rsid w:val="00214CDE"/>
    <w:rsid w:val="00221028"/>
    <w:rsid w:val="002212AC"/>
    <w:rsid w:val="00221BDB"/>
    <w:rsid w:val="0022512A"/>
    <w:rsid w:val="00230D00"/>
    <w:rsid w:val="00231DF7"/>
    <w:rsid w:val="00231FD1"/>
    <w:rsid w:val="002339E0"/>
    <w:rsid w:val="00233CF8"/>
    <w:rsid w:val="0023575D"/>
    <w:rsid w:val="00237148"/>
    <w:rsid w:val="0024222D"/>
    <w:rsid w:val="00244B0E"/>
    <w:rsid w:val="00244F6C"/>
    <w:rsid w:val="00251124"/>
    <w:rsid w:val="002532C5"/>
    <w:rsid w:val="0025427F"/>
    <w:rsid w:val="00254EEA"/>
    <w:rsid w:val="00260C03"/>
    <w:rsid w:val="0026540E"/>
    <w:rsid w:val="0027057B"/>
    <w:rsid w:val="00272246"/>
    <w:rsid w:val="00274585"/>
    <w:rsid w:val="00275123"/>
    <w:rsid w:val="00282240"/>
    <w:rsid w:val="002832E1"/>
    <w:rsid w:val="00291379"/>
    <w:rsid w:val="00293AD5"/>
    <w:rsid w:val="002948AD"/>
    <w:rsid w:val="002A01CC"/>
    <w:rsid w:val="002A0BA6"/>
    <w:rsid w:val="002A47BA"/>
    <w:rsid w:val="002A61B1"/>
    <w:rsid w:val="002A62A1"/>
    <w:rsid w:val="002A663C"/>
    <w:rsid w:val="002A7455"/>
    <w:rsid w:val="002B444B"/>
    <w:rsid w:val="002B5466"/>
    <w:rsid w:val="002B5887"/>
    <w:rsid w:val="002C0E27"/>
    <w:rsid w:val="002C3040"/>
    <w:rsid w:val="002D022D"/>
    <w:rsid w:val="002D23B6"/>
    <w:rsid w:val="002D247C"/>
    <w:rsid w:val="002D24BB"/>
    <w:rsid w:val="002D2EB0"/>
    <w:rsid w:val="002D6E09"/>
    <w:rsid w:val="002E02CB"/>
    <w:rsid w:val="002E0946"/>
    <w:rsid w:val="002F194A"/>
    <w:rsid w:val="002F1E9F"/>
    <w:rsid w:val="002F2AF7"/>
    <w:rsid w:val="002F77AC"/>
    <w:rsid w:val="002F7E1C"/>
    <w:rsid w:val="00301A75"/>
    <w:rsid w:val="00302EFE"/>
    <w:rsid w:val="00302F70"/>
    <w:rsid w:val="0030336F"/>
    <w:rsid w:val="0030375E"/>
    <w:rsid w:val="0030789D"/>
    <w:rsid w:val="00312A30"/>
    <w:rsid w:val="003138A6"/>
    <w:rsid w:val="00313F49"/>
    <w:rsid w:val="00320F72"/>
    <w:rsid w:val="00321052"/>
    <w:rsid w:val="0032463E"/>
    <w:rsid w:val="00325236"/>
    <w:rsid w:val="00326224"/>
    <w:rsid w:val="00327A83"/>
    <w:rsid w:val="00332E57"/>
    <w:rsid w:val="0033608F"/>
    <w:rsid w:val="00336AC0"/>
    <w:rsid w:val="00336E98"/>
    <w:rsid w:val="00337EE4"/>
    <w:rsid w:val="00340FFD"/>
    <w:rsid w:val="003506B1"/>
    <w:rsid w:val="00350E8B"/>
    <w:rsid w:val="0035320B"/>
    <w:rsid w:val="00354F8C"/>
    <w:rsid w:val="00356AC7"/>
    <w:rsid w:val="003609FA"/>
    <w:rsid w:val="00360F30"/>
    <w:rsid w:val="00364D14"/>
    <w:rsid w:val="003710C8"/>
    <w:rsid w:val="00372E8A"/>
    <w:rsid w:val="003750BE"/>
    <w:rsid w:val="0038045F"/>
    <w:rsid w:val="003827BF"/>
    <w:rsid w:val="00387913"/>
    <w:rsid w:val="00387B9D"/>
    <w:rsid w:val="0039255B"/>
    <w:rsid w:val="0039364F"/>
    <w:rsid w:val="00394DB6"/>
    <w:rsid w:val="00396686"/>
    <w:rsid w:val="0039778E"/>
    <w:rsid w:val="003A1BA0"/>
    <w:rsid w:val="003A7755"/>
    <w:rsid w:val="003B2814"/>
    <w:rsid w:val="003B2EDB"/>
    <w:rsid w:val="003B3102"/>
    <w:rsid w:val="003B4941"/>
    <w:rsid w:val="003B674C"/>
    <w:rsid w:val="003C4F76"/>
    <w:rsid w:val="003C5714"/>
    <w:rsid w:val="003C5DEE"/>
    <w:rsid w:val="003C6B9F"/>
    <w:rsid w:val="003C6E2A"/>
    <w:rsid w:val="003D0299"/>
    <w:rsid w:val="003D4ABF"/>
    <w:rsid w:val="003D5401"/>
    <w:rsid w:val="003E26FB"/>
    <w:rsid w:val="003E54FB"/>
    <w:rsid w:val="003E5864"/>
    <w:rsid w:val="003E6D80"/>
    <w:rsid w:val="003F053B"/>
    <w:rsid w:val="003F05FA"/>
    <w:rsid w:val="003F244A"/>
    <w:rsid w:val="003F30B8"/>
    <w:rsid w:val="003F3B03"/>
    <w:rsid w:val="003F4C45"/>
    <w:rsid w:val="003F5F7B"/>
    <w:rsid w:val="003F7D64"/>
    <w:rsid w:val="00400AFD"/>
    <w:rsid w:val="00405C60"/>
    <w:rsid w:val="00411061"/>
    <w:rsid w:val="00414300"/>
    <w:rsid w:val="004147EA"/>
    <w:rsid w:val="004172C8"/>
    <w:rsid w:val="00423078"/>
    <w:rsid w:val="00425C67"/>
    <w:rsid w:val="00427E7A"/>
    <w:rsid w:val="00434EC4"/>
    <w:rsid w:val="00435C7E"/>
    <w:rsid w:val="00436C49"/>
    <w:rsid w:val="0044206D"/>
    <w:rsid w:val="00442E8B"/>
    <w:rsid w:val="00443F2F"/>
    <w:rsid w:val="004448DC"/>
    <w:rsid w:val="00445366"/>
    <w:rsid w:val="0044554F"/>
    <w:rsid w:val="00447F5B"/>
    <w:rsid w:val="0045067D"/>
    <w:rsid w:val="004552E0"/>
    <w:rsid w:val="00461DB0"/>
    <w:rsid w:val="00462F8B"/>
    <w:rsid w:val="00463926"/>
    <w:rsid w:val="00464C9A"/>
    <w:rsid w:val="004727C7"/>
    <w:rsid w:val="004741F5"/>
    <w:rsid w:val="00474F3D"/>
    <w:rsid w:val="00476BDB"/>
    <w:rsid w:val="00477E3A"/>
    <w:rsid w:val="00482688"/>
    <w:rsid w:val="00483E5F"/>
    <w:rsid w:val="00485533"/>
    <w:rsid w:val="00485FF9"/>
    <w:rsid w:val="004860E0"/>
    <w:rsid w:val="004907F0"/>
    <w:rsid w:val="0049140B"/>
    <w:rsid w:val="004923A5"/>
    <w:rsid w:val="00496BFB"/>
    <w:rsid w:val="0049772E"/>
    <w:rsid w:val="004A15C7"/>
    <w:rsid w:val="004A6337"/>
    <w:rsid w:val="004A635E"/>
    <w:rsid w:val="004B013B"/>
    <w:rsid w:val="004B112B"/>
    <w:rsid w:val="004B696F"/>
    <w:rsid w:val="004B7E05"/>
    <w:rsid w:val="004C01E4"/>
    <w:rsid w:val="004C086C"/>
    <w:rsid w:val="004C1F56"/>
    <w:rsid w:val="004C27BC"/>
    <w:rsid w:val="004D15F3"/>
    <w:rsid w:val="004D5311"/>
    <w:rsid w:val="004D5AE6"/>
    <w:rsid w:val="004D5DCC"/>
    <w:rsid w:val="004E0541"/>
    <w:rsid w:val="004E1B39"/>
    <w:rsid w:val="004E3538"/>
    <w:rsid w:val="004E5E03"/>
    <w:rsid w:val="004F10AF"/>
    <w:rsid w:val="004F11A4"/>
    <w:rsid w:val="004F2389"/>
    <w:rsid w:val="004F2979"/>
    <w:rsid w:val="004F304D"/>
    <w:rsid w:val="004F61BE"/>
    <w:rsid w:val="004F66B1"/>
    <w:rsid w:val="004F75AD"/>
    <w:rsid w:val="00503726"/>
    <w:rsid w:val="0050375E"/>
    <w:rsid w:val="00511C07"/>
    <w:rsid w:val="00515315"/>
    <w:rsid w:val="005173A6"/>
    <w:rsid w:val="00520BAA"/>
    <w:rsid w:val="00521C7F"/>
    <w:rsid w:val="00523BCF"/>
    <w:rsid w:val="00525208"/>
    <w:rsid w:val="005257A5"/>
    <w:rsid w:val="005264C0"/>
    <w:rsid w:val="00526A8A"/>
    <w:rsid w:val="005270B8"/>
    <w:rsid w:val="00530BCF"/>
    <w:rsid w:val="00531DF2"/>
    <w:rsid w:val="00535282"/>
    <w:rsid w:val="00536792"/>
    <w:rsid w:val="0054121E"/>
    <w:rsid w:val="00543C34"/>
    <w:rsid w:val="005442EE"/>
    <w:rsid w:val="0054555B"/>
    <w:rsid w:val="005456A4"/>
    <w:rsid w:val="00547353"/>
    <w:rsid w:val="005474E7"/>
    <w:rsid w:val="005512A3"/>
    <w:rsid w:val="005578CE"/>
    <w:rsid w:val="0056170D"/>
    <w:rsid w:val="00562781"/>
    <w:rsid w:val="005628B8"/>
    <w:rsid w:val="00570543"/>
    <w:rsid w:val="00571B22"/>
    <w:rsid w:val="0057271C"/>
    <w:rsid w:val="00572845"/>
    <w:rsid w:val="00574C83"/>
    <w:rsid w:val="00576B27"/>
    <w:rsid w:val="00581BA2"/>
    <w:rsid w:val="005863A8"/>
    <w:rsid w:val="00592772"/>
    <w:rsid w:val="005940AE"/>
    <w:rsid w:val="00595710"/>
    <w:rsid w:val="0059574A"/>
    <w:rsid w:val="00596468"/>
    <w:rsid w:val="005A02CB"/>
    <w:rsid w:val="005A1B9B"/>
    <w:rsid w:val="005A6751"/>
    <w:rsid w:val="005B0419"/>
    <w:rsid w:val="005B092E"/>
    <w:rsid w:val="005B152C"/>
    <w:rsid w:val="005B1EE0"/>
    <w:rsid w:val="005B2B24"/>
    <w:rsid w:val="005B4425"/>
    <w:rsid w:val="005B4B94"/>
    <w:rsid w:val="005B5F84"/>
    <w:rsid w:val="005C3197"/>
    <w:rsid w:val="005C33FD"/>
    <w:rsid w:val="005C3EE8"/>
    <w:rsid w:val="005D1F64"/>
    <w:rsid w:val="005D34F9"/>
    <w:rsid w:val="005D3CD5"/>
    <w:rsid w:val="005D4190"/>
    <w:rsid w:val="005D5B92"/>
    <w:rsid w:val="005D67A3"/>
    <w:rsid w:val="005E2988"/>
    <w:rsid w:val="005E3085"/>
    <w:rsid w:val="005E37C6"/>
    <w:rsid w:val="005F29CA"/>
    <w:rsid w:val="005F51E1"/>
    <w:rsid w:val="00600136"/>
    <w:rsid w:val="006022F4"/>
    <w:rsid w:val="006048D0"/>
    <w:rsid w:val="00607BA8"/>
    <w:rsid w:val="00611C80"/>
    <w:rsid w:val="00617C9F"/>
    <w:rsid w:val="00620692"/>
    <w:rsid w:val="006242CA"/>
    <w:rsid w:val="00626914"/>
    <w:rsid w:val="00627507"/>
    <w:rsid w:val="00633717"/>
    <w:rsid w:val="006344E1"/>
    <w:rsid w:val="0064337D"/>
    <w:rsid w:val="00644F69"/>
    <w:rsid w:val="006475BA"/>
    <w:rsid w:val="0065298D"/>
    <w:rsid w:val="00653906"/>
    <w:rsid w:val="006541B0"/>
    <w:rsid w:val="006545C4"/>
    <w:rsid w:val="00661971"/>
    <w:rsid w:val="00661CE8"/>
    <w:rsid w:val="006623D9"/>
    <w:rsid w:val="00664C6A"/>
    <w:rsid w:val="0066550C"/>
    <w:rsid w:val="00667B26"/>
    <w:rsid w:val="00670445"/>
    <w:rsid w:val="006716F2"/>
    <w:rsid w:val="00676CA4"/>
    <w:rsid w:val="006802DC"/>
    <w:rsid w:val="00682BF2"/>
    <w:rsid w:val="00684499"/>
    <w:rsid w:val="006859CE"/>
    <w:rsid w:val="00691270"/>
    <w:rsid w:val="00693D90"/>
    <w:rsid w:val="006940DD"/>
    <w:rsid w:val="00694A2E"/>
    <w:rsid w:val="00694A4F"/>
    <w:rsid w:val="00694BA8"/>
    <w:rsid w:val="006A037C"/>
    <w:rsid w:val="006A36F4"/>
    <w:rsid w:val="006A406F"/>
    <w:rsid w:val="006A5D3A"/>
    <w:rsid w:val="006B0C37"/>
    <w:rsid w:val="006B0D26"/>
    <w:rsid w:val="006C1A78"/>
    <w:rsid w:val="006C1BCB"/>
    <w:rsid w:val="006C23D4"/>
    <w:rsid w:val="006C64BE"/>
    <w:rsid w:val="006C7BB0"/>
    <w:rsid w:val="006D3237"/>
    <w:rsid w:val="006D559C"/>
    <w:rsid w:val="006D69A2"/>
    <w:rsid w:val="006E2E37"/>
    <w:rsid w:val="006E3CF1"/>
    <w:rsid w:val="006E3F6E"/>
    <w:rsid w:val="006E7E80"/>
    <w:rsid w:val="006F3AB1"/>
    <w:rsid w:val="006F48CA"/>
    <w:rsid w:val="006F4F0F"/>
    <w:rsid w:val="006F64DD"/>
    <w:rsid w:val="006F726E"/>
    <w:rsid w:val="00702CB8"/>
    <w:rsid w:val="00704458"/>
    <w:rsid w:val="007044A0"/>
    <w:rsid w:val="0070526F"/>
    <w:rsid w:val="00711B9F"/>
    <w:rsid w:val="00712BEB"/>
    <w:rsid w:val="00713CA9"/>
    <w:rsid w:val="00715127"/>
    <w:rsid w:val="007153DF"/>
    <w:rsid w:val="00715E8E"/>
    <w:rsid w:val="00722512"/>
    <w:rsid w:val="00723580"/>
    <w:rsid w:val="00723755"/>
    <w:rsid w:val="0073136C"/>
    <w:rsid w:val="00731F0F"/>
    <w:rsid w:val="00733250"/>
    <w:rsid w:val="00740CDE"/>
    <w:rsid w:val="00741404"/>
    <w:rsid w:val="007449E5"/>
    <w:rsid w:val="00745EC3"/>
    <w:rsid w:val="00747FF0"/>
    <w:rsid w:val="007503C9"/>
    <w:rsid w:val="00750689"/>
    <w:rsid w:val="00764D4E"/>
    <w:rsid w:val="00765A1F"/>
    <w:rsid w:val="00775B6D"/>
    <w:rsid w:val="00776595"/>
    <w:rsid w:val="00776D68"/>
    <w:rsid w:val="007850EE"/>
    <w:rsid w:val="00785B95"/>
    <w:rsid w:val="007906C7"/>
    <w:rsid w:val="00790E96"/>
    <w:rsid w:val="00792DAB"/>
    <w:rsid w:val="00793366"/>
    <w:rsid w:val="007949FC"/>
    <w:rsid w:val="007952DA"/>
    <w:rsid w:val="007A0DCE"/>
    <w:rsid w:val="007A1DFF"/>
    <w:rsid w:val="007A45C3"/>
    <w:rsid w:val="007A674E"/>
    <w:rsid w:val="007A716F"/>
    <w:rsid w:val="007B01A0"/>
    <w:rsid w:val="007B02CE"/>
    <w:rsid w:val="007B2042"/>
    <w:rsid w:val="007B270A"/>
    <w:rsid w:val="007B4B56"/>
    <w:rsid w:val="007B7993"/>
    <w:rsid w:val="007C0695"/>
    <w:rsid w:val="007C08C5"/>
    <w:rsid w:val="007C34D2"/>
    <w:rsid w:val="007C419A"/>
    <w:rsid w:val="007C4CC8"/>
    <w:rsid w:val="007C5426"/>
    <w:rsid w:val="007C5798"/>
    <w:rsid w:val="007C57BA"/>
    <w:rsid w:val="007D382C"/>
    <w:rsid w:val="007D4832"/>
    <w:rsid w:val="007E21B2"/>
    <w:rsid w:val="007E2C4E"/>
    <w:rsid w:val="007E3ED4"/>
    <w:rsid w:val="007E48C2"/>
    <w:rsid w:val="007E5A9B"/>
    <w:rsid w:val="007E61D4"/>
    <w:rsid w:val="007F1034"/>
    <w:rsid w:val="007F1905"/>
    <w:rsid w:val="007F263F"/>
    <w:rsid w:val="007F3799"/>
    <w:rsid w:val="007F470B"/>
    <w:rsid w:val="007F4F51"/>
    <w:rsid w:val="00801300"/>
    <w:rsid w:val="00802C64"/>
    <w:rsid w:val="00804A76"/>
    <w:rsid w:val="00805E52"/>
    <w:rsid w:val="008061D0"/>
    <w:rsid w:val="00810B38"/>
    <w:rsid w:val="00812513"/>
    <w:rsid w:val="00813290"/>
    <w:rsid w:val="00815D9A"/>
    <w:rsid w:val="00817987"/>
    <w:rsid w:val="008204C7"/>
    <w:rsid w:val="00820992"/>
    <w:rsid w:val="00823602"/>
    <w:rsid w:val="008255F5"/>
    <w:rsid w:val="00826045"/>
    <w:rsid w:val="00827D04"/>
    <w:rsid w:val="0083014E"/>
    <w:rsid w:val="0083214A"/>
    <w:rsid w:val="00833AFD"/>
    <w:rsid w:val="00834220"/>
    <w:rsid w:val="00834BED"/>
    <w:rsid w:val="008405F2"/>
    <w:rsid w:val="008412F6"/>
    <w:rsid w:val="0084351A"/>
    <w:rsid w:val="00844773"/>
    <w:rsid w:val="00845723"/>
    <w:rsid w:val="00845CC3"/>
    <w:rsid w:val="00851EF9"/>
    <w:rsid w:val="008577FD"/>
    <w:rsid w:val="00860B03"/>
    <w:rsid w:val="00862B15"/>
    <w:rsid w:val="00863004"/>
    <w:rsid w:val="00863C11"/>
    <w:rsid w:val="0086497A"/>
    <w:rsid w:val="008713A1"/>
    <w:rsid w:val="00872552"/>
    <w:rsid w:val="00873433"/>
    <w:rsid w:val="0087416A"/>
    <w:rsid w:val="008754AB"/>
    <w:rsid w:val="00875AB3"/>
    <w:rsid w:val="00875EF3"/>
    <w:rsid w:val="00875F81"/>
    <w:rsid w:val="0088060C"/>
    <w:rsid w:val="0088560D"/>
    <w:rsid w:val="00892C43"/>
    <w:rsid w:val="00893576"/>
    <w:rsid w:val="00893E73"/>
    <w:rsid w:val="0089403C"/>
    <w:rsid w:val="008A45EA"/>
    <w:rsid w:val="008A612D"/>
    <w:rsid w:val="008B02DC"/>
    <w:rsid w:val="008B0CD3"/>
    <w:rsid w:val="008B57CE"/>
    <w:rsid w:val="008C26DE"/>
    <w:rsid w:val="008C2D91"/>
    <w:rsid w:val="008D2225"/>
    <w:rsid w:val="008D4752"/>
    <w:rsid w:val="008D7298"/>
    <w:rsid w:val="008D7EE7"/>
    <w:rsid w:val="008E15D6"/>
    <w:rsid w:val="008E271C"/>
    <w:rsid w:val="008E32C9"/>
    <w:rsid w:val="008E418E"/>
    <w:rsid w:val="008E4306"/>
    <w:rsid w:val="008E5BC6"/>
    <w:rsid w:val="008E6A25"/>
    <w:rsid w:val="008F4CA2"/>
    <w:rsid w:val="008F5193"/>
    <w:rsid w:val="009013A7"/>
    <w:rsid w:val="009017FB"/>
    <w:rsid w:val="009017FC"/>
    <w:rsid w:val="0090506B"/>
    <w:rsid w:val="009050C9"/>
    <w:rsid w:val="009066FC"/>
    <w:rsid w:val="00910C4E"/>
    <w:rsid w:val="00910F06"/>
    <w:rsid w:val="009140A3"/>
    <w:rsid w:val="009144A2"/>
    <w:rsid w:val="0091510C"/>
    <w:rsid w:val="00915E31"/>
    <w:rsid w:val="009203CC"/>
    <w:rsid w:val="009259AC"/>
    <w:rsid w:val="00926AD5"/>
    <w:rsid w:val="00926F38"/>
    <w:rsid w:val="00933AB7"/>
    <w:rsid w:val="00934301"/>
    <w:rsid w:val="00935FAF"/>
    <w:rsid w:val="00936C2D"/>
    <w:rsid w:val="00936CD1"/>
    <w:rsid w:val="00937364"/>
    <w:rsid w:val="00941747"/>
    <w:rsid w:val="00941EFB"/>
    <w:rsid w:val="009477F2"/>
    <w:rsid w:val="00947AFB"/>
    <w:rsid w:val="00950688"/>
    <w:rsid w:val="00951ABC"/>
    <w:rsid w:val="00951D7D"/>
    <w:rsid w:val="009630C7"/>
    <w:rsid w:val="00965BB5"/>
    <w:rsid w:val="00972B55"/>
    <w:rsid w:val="009734BF"/>
    <w:rsid w:val="009743B7"/>
    <w:rsid w:val="00974684"/>
    <w:rsid w:val="009749EB"/>
    <w:rsid w:val="0098228B"/>
    <w:rsid w:val="009828DA"/>
    <w:rsid w:val="00984EBF"/>
    <w:rsid w:val="00985B03"/>
    <w:rsid w:val="00985BAB"/>
    <w:rsid w:val="00985C73"/>
    <w:rsid w:val="00994981"/>
    <w:rsid w:val="00996C8A"/>
    <w:rsid w:val="009B0628"/>
    <w:rsid w:val="009B1B5F"/>
    <w:rsid w:val="009B2B12"/>
    <w:rsid w:val="009B6673"/>
    <w:rsid w:val="009B6B79"/>
    <w:rsid w:val="009C06D1"/>
    <w:rsid w:val="009C191B"/>
    <w:rsid w:val="009C2125"/>
    <w:rsid w:val="009C2BD6"/>
    <w:rsid w:val="009C5881"/>
    <w:rsid w:val="009D367B"/>
    <w:rsid w:val="009D3AFF"/>
    <w:rsid w:val="009D7B9E"/>
    <w:rsid w:val="009E1F32"/>
    <w:rsid w:val="009E223A"/>
    <w:rsid w:val="009E241B"/>
    <w:rsid w:val="009E275D"/>
    <w:rsid w:val="009E2D9C"/>
    <w:rsid w:val="009E776C"/>
    <w:rsid w:val="009F0907"/>
    <w:rsid w:val="009F210B"/>
    <w:rsid w:val="00A00144"/>
    <w:rsid w:val="00A03929"/>
    <w:rsid w:val="00A067E8"/>
    <w:rsid w:val="00A1726E"/>
    <w:rsid w:val="00A204CF"/>
    <w:rsid w:val="00A23D49"/>
    <w:rsid w:val="00A248A7"/>
    <w:rsid w:val="00A27004"/>
    <w:rsid w:val="00A27A17"/>
    <w:rsid w:val="00A308C9"/>
    <w:rsid w:val="00A30C29"/>
    <w:rsid w:val="00A34DD6"/>
    <w:rsid w:val="00A364BA"/>
    <w:rsid w:val="00A36819"/>
    <w:rsid w:val="00A36989"/>
    <w:rsid w:val="00A37E4F"/>
    <w:rsid w:val="00A40AC0"/>
    <w:rsid w:val="00A43308"/>
    <w:rsid w:val="00A43628"/>
    <w:rsid w:val="00A46BDD"/>
    <w:rsid w:val="00A54192"/>
    <w:rsid w:val="00A6035E"/>
    <w:rsid w:val="00A6144C"/>
    <w:rsid w:val="00A66617"/>
    <w:rsid w:val="00A671F8"/>
    <w:rsid w:val="00A673A4"/>
    <w:rsid w:val="00A67531"/>
    <w:rsid w:val="00A714B0"/>
    <w:rsid w:val="00A724AE"/>
    <w:rsid w:val="00A73329"/>
    <w:rsid w:val="00A74BC1"/>
    <w:rsid w:val="00A76BEC"/>
    <w:rsid w:val="00A81DA8"/>
    <w:rsid w:val="00A82359"/>
    <w:rsid w:val="00A865D2"/>
    <w:rsid w:val="00A91D18"/>
    <w:rsid w:val="00A94C20"/>
    <w:rsid w:val="00A94DD3"/>
    <w:rsid w:val="00A965EA"/>
    <w:rsid w:val="00AA227F"/>
    <w:rsid w:val="00AA3BC7"/>
    <w:rsid w:val="00AA754A"/>
    <w:rsid w:val="00AB099E"/>
    <w:rsid w:val="00AB10C5"/>
    <w:rsid w:val="00AB4328"/>
    <w:rsid w:val="00AC0824"/>
    <w:rsid w:val="00AC1778"/>
    <w:rsid w:val="00AC20CE"/>
    <w:rsid w:val="00AC3457"/>
    <w:rsid w:val="00AC4EBF"/>
    <w:rsid w:val="00AD1EDC"/>
    <w:rsid w:val="00AD412E"/>
    <w:rsid w:val="00AD63F3"/>
    <w:rsid w:val="00AE0A2E"/>
    <w:rsid w:val="00AE354C"/>
    <w:rsid w:val="00AE4D04"/>
    <w:rsid w:val="00AF48A9"/>
    <w:rsid w:val="00AF4B07"/>
    <w:rsid w:val="00AF5CC8"/>
    <w:rsid w:val="00AF6186"/>
    <w:rsid w:val="00AF65B6"/>
    <w:rsid w:val="00AF7A3A"/>
    <w:rsid w:val="00B120E7"/>
    <w:rsid w:val="00B160DB"/>
    <w:rsid w:val="00B1792B"/>
    <w:rsid w:val="00B20836"/>
    <w:rsid w:val="00B235BB"/>
    <w:rsid w:val="00B254F3"/>
    <w:rsid w:val="00B27A44"/>
    <w:rsid w:val="00B30BBF"/>
    <w:rsid w:val="00B33C03"/>
    <w:rsid w:val="00B35187"/>
    <w:rsid w:val="00B36F52"/>
    <w:rsid w:val="00B44E56"/>
    <w:rsid w:val="00B46543"/>
    <w:rsid w:val="00B47678"/>
    <w:rsid w:val="00B47D33"/>
    <w:rsid w:val="00B504CC"/>
    <w:rsid w:val="00B52BE0"/>
    <w:rsid w:val="00B54133"/>
    <w:rsid w:val="00B564B7"/>
    <w:rsid w:val="00B60A62"/>
    <w:rsid w:val="00B60F7D"/>
    <w:rsid w:val="00B6179F"/>
    <w:rsid w:val="00B642EC"/>
    <w:rsid w:val="00B64C8D"/>
    <w:rsid w:val="00B659BC"/>
    <w:rsid w:val="00B66179"/>
    <w:rsid w:val="00B701ED"/>
    <w:rsid w:val="00B8086C"/>
    <w:rsid w:val="00B81139"/>
    <w:rsid w:val="00B8240D"/>
    <w:rsid w:val="00B83296"/>
    <w:rsid w:val="00B861B4"/>
    <w:rsid w:val="00B86DFE"/>
    <w:rsid w:val="00B870BE"/>
    <w:rsid w:val="00B90990"/>
    <w:rsid w:val="00B922FF"/>
    <w:rsid w:val="00B9281E"/>
    <w:rsid w:val="00B93925"/>
    <w:rsid w:val="00B93ECF"/>
    <w:rsid w:val="00B95187"/>
    <w:rsid w:val="00B9776F"/>
    <w:rsid w:val="00BA13D6"/>
    <w:rsid w:val="00BA2D55"/>
    <w:rsid w:val="00BA5E68"/>
    <w:rsid w:val="00BA69CA"/>
    <w:rsid w:val="00BA71B1"/>
    <w:rsid w:val="00BB0637"/>
    <w:rsid w:val="00BB1204"/>
    <w:rsid w:val="00BB345F"/>
    <w:rsid w:val="00BB3CBC"/>
    <w:rsid w:val="00BB4AFF"/>
    <w:rsid w:val="00BB68EA"/>
    <w:rsid w:val="00BB6DE6"/>
    <w:rsid w:val="00BC1C27"/>
    <w:rsid w:val="00BC4A8F"/>
    <w:rsid w:val="00BC6BBF"/>
    <w:rsid w:val="00BC7C40"/>
    <w:rsid w:val="00BD1572"/>
    <w:rsid w:val="00BD1F73"/>
    <w:rsid w:val="00BD3E7D"/>
    <w:rsid w:val="00BD4506"/>
    <w:rsid w:val="00BD564A"/>
    <w:rsid w:val="00BE14E3"/>
    <w:rsid w:val="00BE2540"/>
    <w:rsid w:val="00BE2D06"/>
    <w:rsid w:val="00BE3774"/>
    <w:rsid w:val="00BE3D47"/>
    <w:rsid w:val="00BE41E5"/>
    <w:rsid w:val="00BF10FE"/>
    <w:rsid w:val="00BF1295"/>
    <w:rsid w:val="00BF2280"/>
    <w:rsid w:val="00BF379F"/>
    <w:rsid w:val="00BF4109"/>
    <w:rsid w:val="00BF4CC3"/>
    <w:rsid w:val="00BF6B4E"/>
    <w:rsid w:val="00C054C7"/>
    <w:rsid w:val="00C057B5"/>
    <w:rsid w:val="00C06E15"/>
    <w:rsid w:val="00C1262B"/>
    <w:rsid w:val="00C14E1F"/>
    <w:rsid w:val="00C156E5"/>
    <w:rsid w:val="00C170CE"/>
    <w:rsid w:val="00C21BBE"/>
    <w:rsid w:val="00C22687"/>
    <w:rsid w:val="00C26942"/>
    <w:rsid w:val="00C32E4D"/>
    <w:rsid w:val="00C333A0"/>
    <w:rsid w:val="00C36408"/>
    <w:rsid w:val="00C36A81"/>
    <w:rsid w:val="00C41974"/>
    <w:rsid w:val="00C43633"/>
    <w:rsid w:val="00C46824"/>
    <w:rsid w:val="00C53A5B"/>
    <w:rsid w:val="00C53F4A"/>
    <w:rsid w:val="00C54125"/>
    <w:rsid w:val="00C55B54"/>
    <w:rsid w:val="00C6098E"/>
    <w:rsid w:val="00C611D8"/>
    <w:rsid w:val="00C6152C"/>
    <w:rsid w:val="00C63275"/>
    <w:rsid w:val="00C63990"/>
    <w:rsid w:val="00C64EF6"/>
    <w:rsid w:val="00C65050"/>
    <w:rsid w:val="00C700D9"/>
    <w:rsid w:val="00C74810"/>
    <w:rsid w:val="00C74B11"/>
    <w:rsid w:val="00C85CBC"/>
    <w:rsid w:val="00C90D68"/>
    <w:rsid w:val="00C939FE"/>
    <w:rsid w:val="00C93EE2"/>
    <w:rsid w:val="00CA0E5B"/>
    <w:rsid w:val="00CA2719"/>
    <w:rsid w:val="00CA4BDA"/>
    <w:rsid w:val="00CB10C1"/>
    <w:rsid w:val="00CB1F66"/>
    <w:rsid w:val="00CB2951"/>
    <w:rsid w:val="00CC3FE5"/>
    <w:rsid w:val="00CC4301"/>
    <w:rsid w:val="00CC6155"/>
    <w:rsid w:val="00CC71E6"/>
    <w:rsid w:val="00CD282B"/>
    <w:rsid w:val="00CD287F"/>
    <w:rsid w:val="00CD4C35"/>
    <w:rsid w:val="00CD5BEE"/>
    <w:rsid w:val="00CD7294"/>
    <w:rsid w:val="00CD7369"/>
    <w:rsid w:val="00CD7961"/>
    <w:rsid w:val="00CE0B0E"/>
    <w:rsid w:val="00CE3831"/>
    <w:rsid w:val="00CE3BC6"/>
    <w:rsid w:val="00CF077D"/>
    <w:rsid w:val="00CF0B5A"/>
    <w:rsid w:val="00D00ABB"/>
    <w:rsid w:val="00D02699"/>
    <w:rsid w:val="00D02D57"/>
    <w:rsid w:val="00D02EEC"/>
    <w:rsid w:val="00D03551"/>
    <w:rsid w:val="00D06A63"/>
    <w:rsid w:val="00D07E0E"/>
    <w:rsid w:val="00D11478"/>
    <w:rsid w:val="00D158AE"/>
    <w:rsid w:val="00D15ED0"/>
    <w:rsid w:val="00D177CC"/>
    <w:rsid w:val="00D21B3E"/>
    <w:rsid w:val="00D21FED"/>
    <w:rsid w:val="00D229A7"/>
    <w:rsid w:val="00D24251"/>
    <w:rsid w:val="00D250D7"/>
    <w:rsid w:val="00D30B6F"/>
    <w:rsid w:val="00D343E2"/>
    <w:rsid w:val="00D361A2"/>
    <w:rsid w:val="00D36DF8"/>
    <w:rsid w:val="00D37C1F"/>
    <w:rsid w:val="00D37F2B"/>
    <w:rsid w:val="00D42AFF"/>
    <w:rsid w:val="00D44C2E"/>
    <w:rsid w:val="00D45414"/>
    <w:rsid w:val="00D51B2F"/>
    <w:rsid w:val="00D52E97"/>
    <w:rsid w:val="00D53786"/>
    <w:rsid w:val="00D54508"/>
    <w:rsid w:val="00D566BD"/>
    <w:rsid w:val="00D576CF"/>
    <w:rsid w:val="00D57A4D"/>
    <w:rsid w:val="00D60377"/>
    <w:rsid w:val="00D60AA7"/>
    <w:rsid w:val="00D6435F"/>
    <w:rsid w:val="00D70E68"/>
    <w:rsid w:val="00D71DEE"/>
    <w:rsid w:val="00D75E28"/>
    <w:rsid w:val="00D76E36"/>
    <w:rsid w:val="00D772C2"/>
    <w:rsid w:val="00D8008E"/>
    <w:rsid w:val="00D8202C"/>
    <w:rsid w:val="00D82C45"/>
    <w:rsid w:val="00D85308"/>
    <w:rsid w:val="00D87226"/>
    <w:rsid w:val="00D908A8"/>
    <w:rsid w:val="00D90CE8"/>
    <w:rsid w:val="00D93910"/>
    <w:rsid w:val="00D977B6"/>
    <w:rsid w:val="00DA4A31"/>
    <w:rsid w:val="00DA4F14"/>
    <w:rsid w:val="00DA7A97"/>
    <w:rsid w:val="00DA7B04"/>
    <w:rsid w:val="00DB184E"/>
    <w:rsid w:val="00DB36C2"/>
    <w:rsid w:val="00DB40B6"/>
    <w:rsid w:val="00DB4E1B"/>
    <w:rsid w:val="00DC169B"/>
    <w:rsid w:val="00DC2AB9"/>
    <w:rsid w:val="00DC63F0"/>
    <w:rsid w:val="00DC6BB8"/>
    <w:rsid w:val="00DD4AAB"/>
    <w:rsid w:val="00DD5146"/>
    <w:rsid w:val="00DD6EE5"/>
    <w:rsid w:val="00DE386C"/>
    <w:rsid w:val="00DE4D35"/>
    <w:rsid w:val="00DE5C71"/>
    <w:rsid w:val="00DE6131"/>
    <w:rsid w:val="00DF098B"/>
    <w:rsid w:val="00DF11C4"/>
    <w:rsid w:val="00DF210C"/>
    <w:rsid w:val="00DF4B55"/>
    <w:rsid w:val="00DF4B6A"/>
    <w:rsid w:val="00DF74F7"/>
    <w:rsid w:val="00E01E65"/>
    <w:rsid w:val="00E0269D"/>
    <w:rsid w:val="00E02C09"/>
    <w:rsid w:val="00E04D59"/>
    <w:rsid w:val="00E075FB"/>
    <w:rsid w:val="00E07DA1"/>
    <w:rsid w:val="00E123CB"/>
    <w:rsid w:val="00E13A86"/>
    <w:rsid w:val="00E154B0"/>
    <w:rsid w:val="00E20E13"/>
    <w:rsid w:val="00E21DBC"/>
    <w:rsid w:val="00E22C7C"/>
    <w:rsid w:val="00E231EB"/>
    <w:rsid w:val="00E256DD"/>
    <w:rsid w:val="00E267EF"/>
    <w:rsid w:val="00E275D7"/>
    <w:rsid w:val="00E27B2A"/>
    <w:rsid w:val="00E27DBE"/>
    <w:rsid w:val="00E32AB1"/>
    <w:rsid w:val="00E34B77"/>
    <w:rsid w:val="00E35B98"/>
    <w:rsid w:val="00E363F0"/>
    <w:rsid w:val="00E36C71"/>
    <w:rsid w:val="00E40404"/>
    <w:rsid w:val="00E40595"/>
    <w:rsid w:val="00E428F9"/>
    <w:rsid w:val="00E4529A"/>
    <w:rsid w:val="00E459C6"/>
    <w:rsid w:val="00E47589"/>
    <w:rsid w:val="00E53F45"/>
    <w:rsid w:val="00E60556"/>
    <w:rsid w:val="00E618DB"/>
    <w:rsid w:val="00E64825"/>
    <w:rsid w:val="00E64915"/>
    <w:rsid w:val="00E661D4"/>
    <w:rsid w:val="00E669BC"/>
    <w:rsid w:val="00E70091"/>
    <w:rsid w:val="00E706F7"/>
    <w:rsid w:val="00E720F5"/>
    <w:rsid w:val="00E73032"/>
    <w:rsid w:val="00E7350A"/>
    <w:rsid w:val="00E74D7B"/>
    <w:rsid w:val="00E76D47"/>
    <w:rsid w:val="00E772FC"/>
    <w:rsid w:val="00E77CB3"/>
    <w:rsid w:val="00E823A1"/>
    <w:rsid w:val="00E849F7"/>
    <w:rsid w:val="00E9009F"/>
    <w:rsid w:val="00E90302"/>
    <w:rsid w:val="00E955CD"/>
    <w:rsid w:val="00E95794"/>
    <w:rsid w:val="00E95EA5"/>
    <w:rsid w:val="00E97396"/>
    <w:rsid w:val="00EA12FA"/>
    <w:rsid w:val="00EA185E"/>
    <w:rsid w:val="00EA3B89"/>
    <w:rsid w:val="00EA592A"/>
    <w:rsid w:val="00EB04D8"/>
    <w:rsid w:val="00EB14E4"/>
    <w:rsid w:val="00EB3125"/>
    <w:rsid w:val="00EB32A5"/>
    <w:rsid w:val="00EB34ED"/>
    <w:rsid w:val="00EB7BE0"/>
    <w:rsid w:val="00EB7E63"/>
    <w:rsid w:val="00EC15AD"/>
    <w:rsid w:val="00EC21DC"/>
    <w:rsid w:val="00EC315E"/>
    <w:rsid w:val="00ED02F4"/>
    <w:rsid w:val="00ED077C"/>
    <w:rsid w:val="00ED1190"/>
    <w:rsid w:val="00ED464C"/>
    <w:rsid w:val="00ED6544"/>
    <w:rsid w:val="00ED7F39"/>
    <w:rsid w:val="00EE0277"/>
    <w:rsid w:val="00EE2261"/>
    <w:rsid w:val="00EE386F"/>
    <w:rsid w:val="00EE3E00"/>
    <w:rsid w:val="00EE404D"/>
    <w:rsid w:val="00EE5DD2"/>
    <w:rsid w:val="00EF0A2E"/>
    <w:rsid w:val="00EF5672"/>
    <w:rsid w:val="00EF63C2"/>
    <w:rsid w:val="00F00A79"/>
    <w:rsid w:val="00F00E86"/>
    <w:rsid w:val="00F07C1E"/>
    <w:rsid w:val="00F105DB"/>
    <w:rsid w:val="00F132BC"/>
    <w:rsid w:val="00F13D80"/>
    <w:rsid w:val="00F16AAA"/>
    <w:rsid w:val="00F16E5E"/>
    <w:rsid w:val="00F21161"/>
    <w:rsid w:val="00F218EF"/>
    <w:rsid w:val="00F21BC7"/>
    <w:rsid w:val="00F266A2"/>
    <w:rsid w:val="00F32269"/>
    <w:rsid w:val="00F34297"/>
    <w:rsid w:val="00F44243"/>
    <w:rsid w:val="00F460E2"/>
    <w:rsid w:val="00F50FA1"/>
    <w:rsid w:val="00F56A6F"/>
    <w:rsid w:val="00F5709C"/>
    <w:rsid w:val="00F5718F"/>
    <w:rsid w:val="00F64EDC"/>
    <w:rsid w:val="00F64EF1"/>
    <w:rsid w:val="00F6590B"/>
    <w:rsid w:val="00F8081D"/>
    <w:rsid w:val="00F822D6"/>
    <w:rsid w:val="00F86F9F"/>
    <w:rsid w:val="00F8765F"/>
    <w:rsid w:val="00F90767"/>
    <w:rsid w:val="00F9236C"/>
    <w:rsid w:val="00F959E9"/>
    <w:rsid w:val="00FA0B70"/>
    <w:rsid w:val="00FA685B"/>
    <w:rsid w:val="00FB0C01"/>
    <w:rsid w:val="00FB2B45"/>
    <w:rsid w:val="00FB2C78"/>
    <w:rsid w:val="00FB2E46"/>
    <w:rsid w:val="00FC18F2"/>
    <w:rsid w:val="00FC1F58"/>
    <w:rsid w:val="00FC39E5"/>
    <w:rsid w:val="00FC3A78"/>
    <w:rsid w:val="00FD0D14"/>
    <w:rsid w:val="00FD1005"/>
    <w:rsid w:val="00FD6C75"/>
    <w:rsid w:val="00FE3BD1"/>
    <w:rsid w:val="00FE71B3"/>
    <w:rsid w:val="00FF245F"/>
    <w:rsid w:val="00FF24FF"/>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B504CC"/>
    <w:pPr>
      <w:jc w:val="both"/>
    </w:pPr>
    <w:rPr>
      <w:rFonts w:eastAsiaTheme="minorEastAsia"/>
      <w:sz w:val="24"/>
    </w:rPr>
  </w:style>
  <w:style w:type="paragraph" w:styleId="Titolo1">
    <w:name w:val="heading 1"/>
    <w:basedOn w:val="Normale"/>
    <w:next w:val="Normale"/>
    <w:link w:val="Titolo1Carattere"/>
    <w:uiPriority w:val="99"/>
    <w:semiHidden/>
    <w:rsid w:val="00B504C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B504C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B504CC"/>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B504CC"/>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B504CC"/>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B504C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B504CC"/>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B504C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B504C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504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4CC"/>
    <w:rPr>
      <w:rFonts w:ascii="Tahoma" w:eastAsiaTheme="minorEastAsia" w:hAnsi="Tahoma" w:cs="Tahoma"/>
      <w:sz w:val="16"/>
      <w:szCs w:val="16"/>
    </w:rPr>
  </w:style>
  <w:style w:type="character" w:styleId="Titolodellibro">
    <w:name w:val="Book Title"/>
    <w:uiPriority w:val="99"/>
    <w:semiHidden/>
    <w:qFormat/>
    <w:rsid w:val="00B504CC"/>
    <w:rPr>
      <w:i/>
      <w:iCs/>
      <w:smallCaps/>
      <w:spacing w:val="5"/>
    </w:rPr>
  </w:style>
  <w:style w:type="paragraph" w:customStyle="1" w:styleId="ECHRHeader">
    <w:name w:val="ECHR_Header"/>
    <w:aliases w:val="Ju_Header"/>
    <w:basedOn w:val="Intestazione"/>
    <w:uiPriority w:val="4"/>
    <w:qFormat/>
    <w:rsid w:val="00B504CC"/>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B504CC"/>
    <w:pPr>
      <w:jc w:val="left"/>
    </w:pPr>
    <w:rPr>
      <w:sz w:val="8"/>
    </w:rPr>
  </w:style>
  <w:style w:type="character" w:styleId="Enfasigrassetto">
    <w:name w:val="Strong"/>
    <w:uiPriority w:val="99"/>
    <w:semiHidden/>
    <w:qFormat/>
    <w:rsid w:val="00B504CC"/>
    <w:rPr>
      <w:b/>
      <w:bCs/>
    </w:rPr>
  </w:style>
  <w:style w:type="paragraph" w:styleId="Nessunaspaziatura">
    <w:name w:val="No Spacing"/>
    <w:basedOn w:val="Normale"/>
    <w:link w:val="NessunaspaziaturaCarattere"/>
    <w:semiHidden/>
    <w:qFormat/>
    <w:rsid w:val="00B504CC"/>
    <w:rPr>
      <w:sz w:val="22"/>
    </w:rPr>
  </w:style>
  <w:style w:type="character" w:customStyle="1" w:styleId="NessunaspaziaturaCarattere">
    <w:name w:val="Nessuna spaziatura Carattere"/>
    <w:basedOn w:val="Carpredefinitoparagrafo"/>
    <w:link w:val="Nessunaspaziatura"/>
    <w:semiHidden/>
    <w:rsid w:val="00B504CC"/>
    <w:rPr>
      <w:rFonts w:eastAsiaTheme="minorEastAsia"/>
    </w:rPr>
  </w:style>
  <w:style w:type="paragraph" w:customStyle="1" w:styleId="ECHRFooterLine">
    <w:name w:val="ECHR_Footer_Line"/>
    <w:aliases w:val="Footer_Line"/>
    <w:basedOn w:val="Normale"/>
    <w:next w:val="ECHRFooter"/>
    <w:uiPriority w:val="57"/>
    <w:semiHidden/>
    <w:rsid w:val="00B504C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qFormat/>
    <w:rsid w:val="00B504CC"/>
    <w:pPr>
      <w:numPr>
        <w:numId w:val="15"/>
      </w:numPr>
      <w:jc w:val="left"/>
    </w:pPr>
    <w:rPr>
      <w:b/>
    </w:rPr>
  </w:style>
  <w:style w:type="paragraph" w:customStyle="1" w:styleId="OpiPara">
    <w:name w:val="Opi_Para"/>
    <w:basedOn w:val="ECHRPara"/>
    <w:uiPriority w:val="46"/>
    <w:qFormat/>
    <w:rsid w:val="00B504CC"/>
  </w:style>
  <w:style w:type="paragraph" w:customStyle="1" w:styleId="JuParaSub">
    <w:name w:val="Ju_Para_Sub"/>
    <w:basedOn w:val="ECHRPara"/>
    <w:uiPriority w:val="13"/>
    <w:unhideWhenUsed/>
    <w:qFormat/>
    <w:rsid w:val="00B504CC"/>
    <w:pPr>
      <w:ind w:left="284"/>
    </w:pPr>
  </w:style>
  <w:style w:type="paragraph" w:customStyle="1" w:styleId="ECHRTitleCentre3">
    <w:name w:val="ECHR_Title_Centre_3"/>
    <w:aliases w:val="Ju_H_Article"/>
    <w:basedOn w:val="Normale"/>
    <w:next w:val="ECHRParaQuote"/>
    <w:uiPriority w:val="27"/>
    <w:qFormat/>
    <w:rsid w:val="00B504C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B504CC"/>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unhideWhenUsed/>
    <w:qFormat/>
    <w:rsid w:val="00B504CC"/>
  </w:style>
  <w:style w:type="paragraph" w:customStyle="1" w:styleId="OpiQuot">
    <w:name w:val="Opi_Quot"/>
    <w:basedOn w:val="ECHRParaQuote"/>
    <w:uiPriority w:val="48"/>
    <w:qFormat/>
    <w:rsid w:val="00B504CC"/>
  </w:style>
  <w:style w:type="paragraph" w:customStyle="1" w:styleId="OpiQuotSub">
    <w:name w:val="Opi_Quot_Sub"/>
    <w:basedOn w:val="JuQuotSub"/>
    <w:uiPriority w:val="49"/>
    <w:qFormat/>
    <w:rsid w:val="00B504CC"/>
  </w:style>
  <w:style w:type="paragraph" w:customStyle="1" w:styleId="ECHRTitleCentre2">
    <w:name w:val="ECHR_Title_Centre_2"/>
    <w:aliases w:val="Dec_H_Case"/>
    <w:basedOn w:val="Normale"/>
    <w:next w:val="ECHRPara"/>
    <w:uiPriority w:val="8"/>
    <w:qFormat/>
    <w:rsid w:val="00B504CC"/>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B504CC"/>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B504C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B504C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B504C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B504C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B504C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B504C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B504CC"/>
    <w:pPr>
      <w:keepNext/>
      <w:keepLines/>
      <w:spacing w:before="240" w:after="120"/>
      <w:ind w:left="1236"/>
    </w:pPr>
    <w:rPr>
      <w:sz w:val="20"/>
    </w:rPr>
  </w:style>
  <w:style w:type="paragraph" w:customStyle="1" w:styleId="JuQuotSub">
    <w:name w:val="Ju_Quot_Sub"/>
    <w:basedOn w:val="ECHRParaQuote"/>
    <w:uiPriority w:val="15"/>
    <w:qFormat/>
    <w:rsid w:val="00B504CC"/>
    <w:pPr>
      <w:ind w:left="567"/>
    </w:pPr>
  </w:style>
  <w:style w:type="paragraph" w:customStyle="1" w:styleId="JuInitialled">
    <w:name w:val="Ju_Initialled"/>
    <w:basedOn w:val="Normale"/>
    <w:uiPriority w:val="31"/>
    <w:qFormat/>
    <w:rsid w:val="00B504CC"/>
    <w:pPr>
      <w:tabs>
        <w:tab w:val="center" w:pos="6407"/>
      </w:tabs>
      <w:spacing w:before="720"/>
      <w:jc w:val="right"/>
    </w:pPr>
  </w:style>
  <w:style w:type="paragraph" w:customStyle="1" w:styleId="OpiHA">
    <w:name w:val="Opi_H_A"/>
    <w:basedOn w:val="ECHRHeading1"/>
    <w:next w:val="OpiPara"/>
    <w:uiPriority w:val="41"/>
    <w:qFormat/>
    <w:rsid w:val="00B504CC"/>
    <w:pPr>
      <w:tabs>
        <w:tab w:val="clear" w:pos="357"/>
      </w:tabs>
      <w:outlineLvl w:val="1"/>
    </w:pPr>
    <w:rPr>
      <w:b/>
    </w:rPr>
  </w:style>
  <w:style w:type="paragraph" w:styleId="Intestazione">
    <w:name w:val="header"/>
    <w:basedOn w:val="Normale"/>
    <w:link w:val="IntestazioneCarattere"/>
    <w:uiPriority w:val="57"/>
    <w:semiHidden/>
    <w:rsid w:val="00B504CC"/>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B504CC"/>
    <w:rPr>
      <w:sz w:val="24"/>
    </w:rPr>
  </w:style>
  <w:style w:type="character" w:customStyle="1" w:styleId="Titolo1Carattere">
    <w:name w:val="Titolo 1 Carattere"/>
    <w:basedOn w:val="Carpredefinitoparagrafo"/>
    <w:link w:val="Titolo1"/>
    <w:uiPriority w:val="99"/>
    <w:semiHidden/>
    <w:rsid w:val="00B504CC"/>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B504C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B504CC"/>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B504CC"/>
    <w:rPr>
      <w:rFonts w:asciiTheme="majorHAnsi" w:eastAsiaTheme="majorEastAsia" w:hAnsiTheme="majorHAnsi" w:cstheme="majorBidi"/>
      <w:b/>
      <w:bCs/>
      <w:color w:val="4D4D4D"/>
      <w:sz w:val="26"/>
      <w:szCs w:val="26"/>
    </w:rPr>
  </w:style>
  <w:style w:type="character" w:customStyle="1" w:styleId="JUNAMES">
    <w:name w:val="JU_NAMES"/>
    <w:uiPriority w:val="17"/>
    <w:qFormat/>
    <w:rsid w:val="00B504CC"/>
    <w:rPr>
      <w:caps w:val="0"/>
      <w:smallCaps/>
    </w:rPr>
  </w:style>
  <w:style w:type="paragraph" w:customStyle="1" w:styleId="ECHRDecisionBody">
    <w:name w:val="ECHR_Decision_Body"/>
    <w:aliases w:val="Ju_Judges"/>
    <w:basedOn w:val="Normale"/>
    <w:uiPriority w:val="11"/>
    <w:qFormat/>
    <w:rsid w:val="00B504CC"/>
    <w:pPr>
      <w:tabs>
        <w:tab w:val="left" w:pos="567"/>
        <w:tab w:val="left" w:pos="1134"/>
      </w:tabs>
      <w:jc w:val="left"/>
    </w:pPr>
  </w:style>
  <w:style w:type="character" w:customStyle="1" w:styleId="Titolo3Carattere">
    <w:name w:val="Titolo 3 Carattere"/>
    <w:basedOn w:val="Carpredefinitoparagrafo"/>
    <w:link w:val="Titolo3"/>
    <w:uiPriority w:val="99"/>
    <w:semiHidden/>
    <w:rsid w:val="00B504CC"/>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B504CC"/>
    <w:pPr>
      <w:ind w:firstLine="284"/>
    </w:pPr>
  </w:style>
  <w:style w:type="character" w:customStyle="1" w:styleId="Titolo4Carattere">
    <w:name w:val="Titolo 4 Carattere"/>
    <w:basedOn w:val="Carpredefinitoparagrafo"/>
    <w:link w:val="Titolo4"/>
    <w:uiPriority w:val="99"/>
    <w:semiHidden/>
    <w:rsid w:val="00B504CC"/>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B504CC"/>
    <w:rPr>
      <w:rFonts w:asciiTheme="majorHAnsi" w:eastAsiaTheme="majorEastAsia" w:hAnsiTheme="majorHAnsi" w:cstheme="majorBidi"/>
      <w:b/>
      <w:bCs/>
      <w:color w:val="808080"/>
    </w:rPr>
  </w:style>
  <w:style w:type="character" w:styleId="Enfasidelicata">
    <w:name w:val="Subtle Emphasis"/>
    <w:uiPriority w:val="99"/>
    <w:semiHidden/>
    <w:qFormat/>
    <w:rsid w:val="00B504CC"/>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B504CC"/>
    <w:pPr>
      <w:keepNext/>
      <w:keepLines/>
      <w:spacing w:before="720" w:after="240"/>
      <w:outlineLvl w:val="0"/>
    </w:pPr>
    <w:rPr>
      <w:rFonts w:asciiTheme="majorHAnsi" w:hAnsiTheme="majorHAnsi"/>
      <w:sz w:val="28"/>
    </w:rPr>
  </w:style>
  <w:style w:type="character" w:styleId="Enfasicorsivo">
    <w:name w:val="Emphasis"/>
    <w:uiPriority w:val="99"/>
    <w:semiHidden/>
    <w:qFormat/>
    <w:rsid w:val="00B504CC"/>
    <w:rPr>
      <w:b/>
      <w:bCs/>
      <w:i/>
      <w:iCs/>
      <w:spacing w:val="10"/>
      <w:bdr w:val="none" w:sz="0" w:space="0" w:color="auto"/>
      <w:shd w:val="clear" w:color="auto" w:fill="auto"/>
    </w:rPr>
  </w:style>
  <w:style w:type="paragraph" w:styleId="Pidipagina">
    <w:name w:val="footer"/>
    <w:basedOn w:val="Normale"/>
    <w:link w:val="PidipaginaCarattere"/>
    <w:uiPriority w:val="57"/>
    <w:semiHidden/>
    <w:rsid w:val="00B504CC"/>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B504CC"/>
    <w:rPr>
      <w:sz w:val="24"/>
    </w:rPr>
  </w:style>
  <w:style w:type="character" w:styleId="Rimandonotaapidipagina">
    <w:name w:val="footnote reference"/>
    <w:basedOn w:val="Carpredefinitoparagrafo"/>
    <w:uiPriority w:val="99"/>
    <w:semiHidden/>
    <w:rsid w:val="00B504CC"/>
    <w:rPr>
      <w:vertAlign w:val="superscript"/>
    </w:rPr>
  </w:style>
  <w:style w:type="paragraph" w:styleId="Testonotaapidipagina">
    <w:name w:val="footnote text"/>
    <w:basedOn w:val="Normale"/>
    <w:link w:val="TestonotaapidipaginaCarattere"/>
    <w:uiPriority w:val="99"/>
    <w:semiHidden/>
    <w:rsid w:val="00B504CC"/>
    <w:rPr>
      <w:sz w:val="20"/>
      <w:szCs w:val="20"/>
    </w:rPr>
  </w:style>
  <w:style w:type="character" w:customStyle="1" w:styleId="TestonotaapidipaginaCarattere">
    <w:name w:val="Testo nota a piè di pagina Carattere"/>
    <w:basedOn w:val="Carpredefinitoparagrafo"/>
    <w:link w:val="Testonotaapidipagina"/>
    <w:uiPriority w:val="99"/>
    <w:semiHidden/>
    <w:rsid w:val="00B504CC"/>
    <w:rPr>
      <w:rFonts w:eastAsiaTheme="minorEastAsia"/>
      <w:sz w:val="20"/>
      <w:szCs w:val="20"/>
    </w:rPr>
  </w:style>
  <w:style w:type="character" w:customStyle="1" w:styleId="Titolo6Carattere">
    <w:name w:val="Titolo 6 Carattere"/>
    <w:basedOn w:val="Carpredefinitoparagrafo"/>
    <w:link w:val="Titolo6"/>
    <w:uiPriority w:val="99"/>
    <w:semiHidden/>
    <w:rsid w:val="00B504CC"/>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B504CC"/>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B504CC"/>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B504CC"/>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B504CC"/>
    <w:rPr>
      <w:color w:val="0072BC" w:themeColor="hyperlink"/>
      <w:u w:val="single"/>
    </w:rPr>
  </w:style>
  <w:style w:type="character" w:styleId="Enfasiintensa">
    <w:name w:val="Intense Emphasis"/>
    <w:uiPriority w:val="99"/>
    <w:semiHidden/>
    <w:qFormat/>
    <w:rsid w:val="00B504CC"/>
    <w:rPr>
      <w:b/>
      <w:bCs/>
    </w:rPr>
  </w:style>
  <w:style w:type="paragraph" w:styleId="Citazioneintensa">
    <w:name w:val="Intense Quote"/>
    <w:basedOn w:val="Normale"/>
    <w:next w:val="Normale"/>
    <w:link w:val="CitazioneintensaCarattere"/>
    <w:uiPriority w:val="99"/>
    <w:semiHidden/>
    <w:qFormat/>
    <w:rsid w:val="00B504CC"/>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B504CC"/>
    <w:rPr>
      <w:rFonts w:eastAsiaTheme="minorEastAsia"/>
      <w:b/>
      <w:bCs/>
      <w:i/>
      <w:iCs/>
      <w:lang w:bidi="en-US"/>
    </w:rPr>
  </w:style>
  <w:style w:type="character" w:styleId="Riferimentointenso">
    <w:name w:val="Intense Reference"/>
    <w:uiPriority w:val="99"/>
    <w:semiHidden/>
    <w:qFormat/>
    <w:rsid w:val="00B504CC"/>
    <w:rPr>
      <w:smallCaps/>
      <w:spacing w:val="5"/>
      <w:u w:val="single"/>
    </w:rPr>
  </w:style>
  <w:style w:type="paragraph" w:styleId="Paragrafoelenco">
    <w:name w:val="List Paragraph"/>
    <w:basedOn w:val="Normale"/>
    <w:uiPriority w:val="99"/>
    <w:semiHidden/>
    <w:qFormat/>
    <w:rsid w:val="00B504CC"/>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B504CC"/>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B504CC"/>
    <w:rPr>
      <w:rFonts w:eastAsiaTheme="minorEastAsia"/>
      <w:i/>
      <w:iCs/>
      <w:lang w:bidi="en-US"/>
    </w:rPr>
  </w:style>
  <w:style w:type="character" w:styleId="Riferimentodelicato">
    <w:name w:val="Subtle Reference"/>
    <w:uiPriority w:val="99"/>
    <w:semiHidden/>
    <w:qFormat/>
    <w:rsid w:val="00B504CC"/>
    <w:rPr>
      <w:smallCaps/>
    </w:rPr>
  </w:style>
  <w:style w:type="table" w:styleId="Grigliatabella">
    <w:name w:val="Table Grid"/>
    <w:basedOn w:val="Tabellanormale"/>
    <w:uiPriority w:val="59"/>
    <w:semiHidden/>
    <w:rsid w:val="00B504C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B504C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B504C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B504C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B504CC"/>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B504C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B504C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B504C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Para_Quote"/>
    <w:basedOn w:val="Normale"/>
    <w:uiPriority w:val="14"/>
    <w:qFormat/>
    <w:rsid w:val="00B504CC"/>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504C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B504CC"/>
    <w:pPr>
      <w:tabs>
        <w:tab w:val="center" w:pos="851"/>
        <w:tab w:val="center" w:pos="6407"/>
      </w:tabs>
      <w:spacing w:before="720"/>
      <w:jc w:val="left"/>
    </w:pPr>
  </w:style>
  <w:style w:type="paragraph" w:customStyle="1" w:styleId="JuParaLast">
    <w:name w:val="Ju_Para_Last"/>
    <w:basedOn w:val="Normale"/>
    <w:next w:val="ECHRPara"/>
    <w:uiPriority w:val="30"/>
    <w:qFormat/>
    <w:rsid w:val="00B504CC"/>
    <w:pPr>
      <w:keepNext/>
      <w:keepLines/>
      <w:spacing w:before="240"/>
      <w:ind w:firstLine="284"/>
    </w:pPr>
  </w:style>
  <w:style w:type="paragraph" w:customStyle="1" w:styleId="JuCase">
    <w:name w:val="Ju_Case"/>
    <w:basedOn w:val="Normale"/>
    <w:next w:val="ECHRPara"/>
    <w:uiPriority w:val="10"/>
    <w:rsid w:val="00B504CC"/>
    <w:pPr>
      <w:ind w:firstLine="284"/>
    </w:pPr>
    <w:rPr>
      <w:b/>
    </w:rPr>
  </w:style>
  <w:style w:type="paragraph" w:customStyle="1" w:styleId="JuList">
    <w:name w:val="Ju_List"/>
    <w:basedOn w:val="Normale"/>
    <w:uiPriority w:val="28"/>
    <w:qFormat/>
    <w:rsid w:val="00B504CC"/>
    <w:pPr>
      <w:ind w:left="340" w:hanging="340"/>
    </w:pPr>
  </w:style>
  <w:style w:type="character" w:customStyle="1" w:styleId="JuITMark">
    <w:name w:val="Ju_ITMark"/>
    <w:basedOn w:val="Carpredefinitoparagrafo"/>
    <w:uiPriority w:val="38"/>
    <w:qFormat/>
    <w:rsid w:val="00B504CC"/>
    <w:rPr>
      <w:vanish w:val="0"/>
      <w:color w:val="auto"/>
      <w:sz w:val="14"/>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B504CC"/>
    <w:pPr>
      <w:ind w:left="346" w:firstLine="0"/>
    </w:pPr>
  </w:style>
  <w:style w:type="paragraph" w:customStyle="1" w:styleId="JuListi">
    <w:name w:val="Ju_List_i"/>
    <w:basedOn w:val="Normale"/>
    <w:next w:val="JuLista"/>
    <w:uiPriority w:val="28"/>
    <w:qFormat/>
    <w:rsid w:val="00B504CC"/>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Translation">
    <w:name w:val="Opi_Translation"/>
    <w:basedOn w:val="Normale"/>
    <w:next w:val="OpiPara"/>
    <w:uiPriority w:val="40"/>
    <w:qFormat/>
    <w:rsid w:val="00B504CC"/>
    <w:pPr>
      <w:jc w:val="center"/>
      <w:outlineLvl w:val="0"/>
    </w:pPr>
    <w:rPr>
      <w:i/>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B504CC"/>
  </w:style>
  <w:style w:type="paragraph" w:styleId="Sottotitolo">
    <w:name w:val="Subtitle"/>
    <w:basedOn w:val="Normale"/>
    <w:next w:val="Normale"/>
    <w:link w:val="SottotitoloCarattere"/>
    <w:uiPriority w:val="99"/>
    <w:semiHidden/>
    <w:qFormat/>
    <w:rsid w:val="00B504CC"/>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B504CC"/>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B504C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B504C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B504C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JuCourt">
    <w:name w:val="Ju_Court"/>
    <w:basedOn w:val="Normale"/>
    <w:next w:val="Normale"/>
    <w:uiPriority w:val="16"/>
    <w:qFormat/>
    <w:rsid w:val="00B504CC"/>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qFormat/>
    <w:rsid w:val="00B504CC"/>
    <w:pPr>
      <w:spacing w:before="240"/>
      <w:ind w:left="284"/>
    </w:pPr>
  </w:style>
  <w:style w:type="paragraph" w:customStyle="1" w:styleId="OpiH1">
    <w:name w:val="Opi_H_1"/>
    <w:basedOn w:val="ECHRHeading2"/>
    <w:uiPriority w:val="42"/>
    <w:qFormat/>
    <w:rsid w:val="00B504CC"/>
    <w:pPr>
      <w:ind w:left="635" w:hanging="357"/>
      <w:outlineLvl w:val="2"/>
    </w:pPr>
  </w:style>
  <w:style w:type="paragraph" w:customStyle="1" w:styleId="OpiHa0">
    <w:name w:val="Opi_H_a"/>
    <w:basedOn w:val="ECHRHeading3"/>
    <w:uiPriority w:val="43"/>
    <w:qFormat/>
    <w:rsid w:val="00B504CC"/>
    <w:pPr>
      <w:ind w:left="833" w:hanging="357"/>
      <w:outlineLvl w:val="3"/>
    </w:pPr>
    <w:rPr>
      <w:b/>
      <w:i w:val="0"/>
      <w:sz w:val="20"/>
    </w:rPr>
  </w:style>
  <w:style w:type="paragraph" w:customStyle="1" w:styleId="OpiHi">
    <w:name w:val="Opi_H_i"/>
    <w:basedOn w:val="ECHRHeading4"/>
    <w:uiPriority w:val="44"/>
    <w:qFormat/>
    <w:rsid w:val="00B504CC"/>
    <w:pPr>
      <w:ind w:left="1037" w:hanging="357"/>
      <w:outlineLvl w:val="4"/>
    </w:pPr>
    <w:rPr>
      <w:b w:val="0"/>
      <w:i/>
    </w:rPr>
  </w:style>
  <w:style w:type="paragraph" w:customStyle="1" w:styleId="DummyStyle">
    <w:name w:val="Dummy_Style"/>
    <w:basedOn w:val="Normale"/>
    <w:semiHidden/>
    <w:qFormat/>
    <w:rsid w:val="00B504CC"/>
    <w:rPr>
      <w:color w:val="00B050"/>
    </w:rPr>
  </w:style>
  <w:style w:type="paragraph" w:customStyle="1" w:styleId="JuHeaderLandscape">
    <w:name w:val="Ju_Header_Landscape"/>
    <w:basedOn w:val="ECHRHeader"/>
    <w:uiPriority w:val="4"/>
    <w:qFormat/>
    <w:rsid w:val="00B504CC"/>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6F726E"/>
    <w:rPr>
      <w:rFonts w:eastAsiaTheme="minorEastAsia"/>
      <w:sz w:val="24"/>
    </w:rPr>
  </w:style>
  <w:style w:type="paragraph" w:customStyle="1" w:styleId="ECHRCoverTitle1">
    <w:name w:val="ECHR_Cover_Title_1"/>
    <w:aliases w:val="Cover_1"/>
    <w:basedOn w:val="Normale"/>
    <w:next w:val="Normale"/>
    <w:uiPriority w:val="24"/>
    <w:qFormat/>
    <w:rsid w:val="00B504CC"/>
    <w:pPr>
      <w:spacing w:before="840"/>
      <w:contextualSpacing/>
      <w:jc w:val="center"/>
    </w:pPr>
    <w:rPr>
      <w:rFonts w:eastAsiaTheme="minorHAnsi"/>
      <w:color w:val="2F2F2F" w:themeColor="accent3" w:themeShade="8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090">
      <w:bodyDiv w:val="1"/>
      <w:marLeft w:val="0"/>
      <w:marRight w:val="0"/>
      <w:marTop w:val="0"/>
      <w:marBottom w:val="0"/>
      <w:divBdr>
        <w:top w:val="none" w:sz="0" w:space="0" w:color="auto"/>
        <w:left w:val="none" w:sz="0" w:space="0" w:color="auto"/>
        <w:bottom w:val="none" w:sz="0" w:space="0" w:color="auto"/>
        <w:right w:val="none" w:sz="0" w:space="0" w:color="auto"/>
      </w:divBdr>
      <w:divsChild>
        <w:div w:id="232663867">
          <w:marLeft w:val="0"/>
          <w:marRight w:val="0"/>
          <w:marTop w:val="0"/>
          <w:marBottom w:val="0"/>
          <w:divBdr>
            <w:top w:val="none" w:sz="0" w:space="0" w:color="auto"/>
            <w:left w:val="none" w:sz="0" w:space="0" w:color="auto"/>
            <w:bottom w:val="none" w:sz="0" w:space="0" w:color="auto"/>
            <w:right w:val="none" w:sz="0" w:space="0" w:color="auto"/>
          </w:divBdr>
          <w:divsChild>
            <w:div w:id="952902755">
              <w:marLeft w:val="0"/>
              <w:marRight w:val="0"/>
              <w:marTop w:val="0"/>
              <w:marBottom w:val="0"/>
              <w:divBdr>
                <w:top w:val="none" w:sz="0" w:space="0" w:color="auto"/>
                <w:left w:val="none" w:sz="0" w:space="0" w:color="auto"/>
                <w:bottom w:val="none" w:sz="0" w:space="0" w:color="auto"/>
                <w:right w:val="none" w:sz="0" w:space="0" w:color="auto"/>
              </w:divBdr>
              <w:divsChild>
                <w:div w:id="1987974947">
                  <w:marLeft w:val="0"/>
                  <w:marRight w:val="0"/>
                  <w:marTop w:val="0"/>
                  <w:marBottom w:val="0"/>
                  <w:divBdr>
                    <w:top w:val="none" w:sz="0" w:space="0" w:color="auto"/>
                    <w:left w:val="none" w:sz="0" w:space="0" w:color="auto"/>
                    <w:bottom w:val="none" w:sz="0" w:space="0" w:color="auto"/>
                    <w:right w:val="none" w:sz="0" w:space="0" w:color="auto"/>
                  </w:divBdr>
                  <w:divsChild>
                    <w:div w:id="605383797">
                      <w:marLeft w:val="0"/>
                      <w:marRight w:val="0"/>
                      <w:marTop w:val="0"/>
                      <w:marBottom w:val="0"/>
                      <w:divBdr>
                        <w:top w:val="none" w:sz="0" w:space="0" w:color="auto"/>
                        <w:left w:val="none" w:sz="0" w:space="0" w:color="auto"/>
                        <w:bottom w:val="none" w:sz="0" w:space="0" w:color="auto"/>
                        <w:right w:val="none" w:sz="0" w:space="0" w:color="auto"/>
                      </w:divBdr>
                      <w:divsChild>
                        <w:div w:id="1106728019">
                          <w:marLeft w:val="0"/>
                          <w:marRight w:val="0"/>
                          <w:marTop w:val="0"/>
                          <w:marBottom w:val="0"/>
                          <w:divBdr>
                            <w:top w:val="none" w:sz="0" w:space="0" w:color="auto"/>
                            <w:left w:val="none" w:sz="0" w:space="0" w:color="auto"/>
                            <w:bottom w:val="none" w:sz="0" w:space="0" w:color="auto"/>
                            <w:right w:val="none" w:sz="0" w:space="0" w:color="auto"/>
                          </w:divBdr>
                          <w:divsChild>
                            <w:div w:id="21383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94504">
      <w:bodyDiv w:val="1"/>
      <w:marLeft w:val="0"/>
      <w:marRight w:val="0"/>
      <w:marTop w:val="0"/>
      <w:marBottom w:val="0"/>
      <w:divBdr>
        <w:top w:val="none" w:sz="0" w:space="0" w:color="auto"/>
        <w:left w:val="none" w:sz="0" w:space="0" w:color="auto"/>
        <w:bottom w:val="none" w:sz="0" w:space="0" w:color="auto"/>
        <w:right w:val="none" w:sz="0" w:space="0" w:color="auto"/>
      </w:divBdr>
      <w:divsChild>
        <w:div w:id="1809132227">
          <w:marLeft w:val="0"/>
          <w:marRight w:val="0"/>
          <w:marTop w:val="0"/>
          <w:marBottom w:val="0"/>
          <w:divBdr>
            <w:top w:val="none" w:sz="0" w:space="0" w:color="auto"/>
            <w:left w:val="none" w:sz="0" w:space="0" w:color="auto"/>
            <w:bottom w:val="none" w:sz="0" w:space="0" w:color="auto"/>
            <w:right w:val="none" w:sz="0" w:space="0" w:color="auto"/>
          </w:divBdr>
          <w:divsChild>
            <w:div w:id="159857024">
              <w:marLeft w:val="0"/>
              <w:marRight w:val="0"/>
              <w:marTop w:val="0"/>
              <w:marBottom w:val="0"/>
              <w:divBdr>
                <w:top w:val="none" w:sz="0" w:space="0" w:color="auto"/>
                <w:left w:val="none" w:sz="0" w:space="0" w:color="auto"/>
                <w:bottom w:val="none" w:sz="0" w:space="0" w:color="auto"/>
                <w:right w:val="none" w:sz="0" w:space="0" w:color="auto"/>
              </w:divBdr>
              <w:divsChild>
                <w:div w:id="223878219">
                  <w:marLeft w:val="0"/>
                  <w:marRight w:val="0"/>
                  <w:marTop w:val="0"/>
                  <w:marBottom w:val="0"/>
                  <w:divBdr>
                    <w:top w:val="none" w:sz="0" w:space="0" w:color="auto"/>
                    <w:left w:val="none" w:sz="0" w:space="0" w:color="auto"/>
                    <w:bottom w:val="none" w:sz="0" w:space="0" w:color="auto"/>
                    <w:right w:val="none" w:sz="0" w:space="0" w:color="auto"/>
                  </w:divBdr>
                  <w:divsChild>
                    <w:div w:id="173496156">
                      <w:marLeft w:val="0"/>
                      <w:marRight w:val="0"/>
                      <w:marTop w:val="0"/>
                      <w:marBottom w:val="0"/>
                      <w:divBdr>
                        <w:top w:val="none" w:sz="0" w:space="0" w:color="auto"/>
                        <w:left w:val="none" w:sz="0" w:space="0" w:color="auto"/>
                        <w:bottom w:val="none" w:sz="0" w:space="0" w:color="auto"/>
                        <w:right w:val="none" w:sz="0" w:space="0" w:color="auto"/>
                      </w:divBdr>
                      <w:divsChild>
                        <w:div w:id="958410225">
                          <w:marLeft w:val="0"/>
                          <w:marRight w:val="0"/>
                          <w:marTop w:val="0"/>
                          <w:marBottom w:val="0"/>
                          <w:divBdr>
                            <w:top w:val="none" w:sz="0" w:space="0" w:color="auto"/>
                            <w:left w:val="none" w:sz="0" w:space="0" w:color="auto"/>
                            <w:bottom w:val="none" w:sz="0" w:space="0" w:color="auto"/>
                            <w:right w:val="none" w:sz="0" w:space="0" w:color="auto"/>
                          </w:divBdr>
                          <w:divsChild>
                            <w:div w:id="14347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44244">
      <w:bodyDiv w:val="1"/>
      <w:marLeft w:val="0"/>
      <w:marRight w:val="0"/>
      <w:marTop w:val="0"/>
      <w:marBottom w:val="0"/>
      <w:divBdr>
        <w:top w:val="none" w:sz="0" w:space="0" w:color="auto"/>
        <w:left w:val="none" w:sz="0" w:space="0" w:color="auto"/>
        <w:bottom w:val="none" w:sz="0" w:space="0" w:color="auto"/>
        <w:right w:val="none" w:sz="0" w:space="0" w:color="auto"/>
      </w:divBdr>
      <w:divsChild>
        <w:div w:id="1872037188">
          <w:marLeft w:val="0"/>
          <w:marRight w:val="0"/>
          <w:marTop w:val="0"/>
          <w:marBottom w:val="0"/>
          <w:divBdr>
            <w:top w:val="none" w:sz="0" w:space="0" w:color="auto"/>
            <w:left w:val="none" w:sz="0" w:space="0" w:color="auto"/>
            <w:bottom w:val="none" w:sz="0" w:space="0" w:color="auto"/>
            <w:right w:val="none" w:sz="0" w:space="0" w:color="auto"/>
          </w:divBdr>
          <w:divsChild>
            <w:div w:id="2084404526">
              <w:marLeft w:val="0"/>
              <w:marRight w:val="0"/>
              <w:marTop w:val="0"/>
              <w:marBottom w:val="0"/>
              <w:divBdr>
                <w:top w:val="none" w:sz="0" w:space="0" w:color="auto"/>
                <w:left w:val="none" w:sz="0" w:space="0" w:color="auto"/>
                <w:bottom w:val="none" w:sz="0" w:space="0" w:color="auto"/>
                <w:right w:val="none" w:sz="0" w:space="0" w:color="auto"/>
              </w:divBdr>
              <w:divsChild>
                <w:div w:id="1932007619">
                  <w:marLeft w:val="0"/>
                  <w:marRight w:val="0"/>
                  <w:marTop w:val="0"/>
                  <w:marBottom w:val="0"/>
                  <w:divBdr>
                    <w:top w:val="none" w:sz="0" w:space="0" w:color="auto"/>
                    <w:left w:val="none" w:sz="0" w:space="0" w:color="auto"/>
                    <w:bottom w:val="none" w:sz="0" w:space="0" w:color="auto"/>
                    <w:right w:val="none" w:sz="0" w:space="0" w:color="auto"/>
                  </w:divBdr>
                  <w:divsChild>
                    <w:div w:id="1407458582">
                      <w:marLeft w:val="0"/>
                      <w:marRight w:val="0"/>
                      <w:marTop w:val="0"/>
                      <w:marBottom w:val="0"/>
                      <w:divBdr>
                        <w:top w:val="none" w:sz="0" w:space="0" w:color="auto"/>
                        <w:left w:val="none" w:sz="0" w:space="0" w:color="auto"/>
                        <w:bottom w:val="none" w:sz="0" w:space="0" w:color="auto"/>
                        <w:right w:val="none" w:sz="0" w:space="0" w:color="auto"/>
                      </w:divBdr>
                      <w:divsChild>
                        <w:div w:id="804851198">
                          <w:marLeft w:val="0"/>
                          <w:marRight w:val="0"/>
                          <w:marTop w:val="0"/>
                          <w:marBottom w:val="0"/>
                          <w:divBdr>
                            <w:top w:val="none" w:sz="0" w:space="0" w:color="auto"/>
                            <w:left w:val="none" w:sz="0" w:space="0" w:color="auto"/>
                            <w:bottom w:val="none" w:sz="0" w:space="0" w:color="auto"/>
                            <w:right w:val="none" w:sz="0" w:space="0" w:color="auto"/>
                          </w:divBdr>
                          <w:divsChild>
                            <w:div w:id="1779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56426">
      <w:bodyDiv w:val="1"/>
      <w:marLeft w:val="0"/>
      <w:marRight w:val="0"/>
      <w:marTop w:val="0"/>
      <w:marBottom w:val="0"/>
      <w:divBdr>
        <w:top w:val="none" w:sz="0" w:space="0" w:color="auto"/>
        <w:left w:val="none" w:sz="0" w:space="0" w:color="auto"/>
        <w:bottom w:val="none" w:sz="0" w:space="0" w:color="auto"/>
        <w:right w:val="none" w:sz="0" w:space="0" w:color="auto"/>
      </w:divBdr>
      <w:divsChild>
        <w:div w:id="181558332">
          <w:marLeft w:val="0"/>
          <w:marRight w:val="0"/>
          <w:marTop w:val="0"/>
          <w:marBottom w:val="0"/>
          <w:divBdr>
            <w:top w:val="none" w:sz="0" w:space="0" w:color="auto"/>
            <w:left w:val="none" w:sz="0" w:space="0" w:color="auto"/>
            <w:bottom w:val="none" w:sz="0" w:space="0" w:color="auto"/>
            <w:right w:val="none" w:sz="0" w:space="0" w:color="auto"/>
          </w:divBdr>
          <w:divsChild>
            <w:div w:id="134416999">
              <w:marLeft w:val="0"/>
              <w:marRight w:val="0"/>
              <w:marTop w:val="0"/>
              <w:marBottom w:val="0"/>
              <w:divBdr>
                <w:top w:val="none" w:sz="0" w:space="0" w:color="auto"/>
                <w:left w:val="none" w:sz="0" w:space="0" w:color="auto"/>
                <w:bottom w:val="none" w:sz="0" w:space="0" w:color="auto"/>
                <w:right w:val="none" w:sz="0" w:space="0" w:color="auto"/>
              </w:divBdr>
              <w:divsChild>
                <w:div w:id="523325429">
                  <w:marLeft w:val="0"/>
                  <w:marRight w:val="0"/>
                  <w:marTop w:val="0"/>
                  <w:marBottom w:val="0"/>
                  <w:divBdr>
                    <w:top w:val="none" w:sz="0" w:space="0" w:color="auto"/>
                    <w:left w:val="none" w:sz="0" w:space="0" w:color="auto"/>
                    <w:bottom w:val="none" w:sz="0" w:space="0" w:color="auto"/>
                    <w:right w:val="none" w:sz="0" w:space="0" w:color="auto"/>
                  </w:divBdr>
                  <w:divsChild>
                    <w:div w:id="2054885338">
                      <w:marLeft w:val="0"/>
                      <w:marRight w:val="0"/>
                      <w:marTop w:val="0"/>
                      <w:marBottom w:val="0"/>
                      <w:divBdr>
                        <w:top w:val="none" w:sz="0" w:space="0" w:color="auto"/>
                        <w:left w:val="none" w:sz="0" w:space="0" w:color="auto"/>
                        <w:bottom w:val="none" w:sz="0" w:space="0" w:color="auto"/>
                        <w:right w:val="none" w:sz="0" w:space="0" w:color="auto"/>
                      </w:divBdr>
                      <w:divsChild>
                        <w:div w:id="1710761256">
                          <w:marLeft w:val="0"/>
                          <w:marRight w:val="0"/>
                          <w:marTop w:val="0"/>
                          <w:marBottom w:val="0"/>
                          <w:divBdr>
                            <w:top w:val="none" w:sz="0" w:space="0" w:color="auto"/>
                            <w:left w:val="none" w:sz="0" w:space="0" w:color="auto"/>
                            <w:bottom w:val="none" w:sz="0" w:space="0" w:color="auto"/>
                            <w:right w:val="none" w:sz="0" w:space="0" w:color="auto"/>
                          </w:divBdr>
                          <w:divsChild>
                            <w:div w:id="11880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588019">
      <w:bodyDiv w:val="1"/>
      <w:marLeft w:val="0"/>
      <w:marRight w:val="0"/>
      <w:marTop w:val="0"/>
      <w:marBottom w:val="0"/>
      <w:divBdr>
        <w:top w:val="none" w:sz="0" w:space="0" w:color="auto"/>
        <w:left w:val="none" w:sz="0" w:space="0" w:color="auto"/>
        <w:bottom w:val="none" w:sz="0" w:space="0" w:color="auto"/>
        <w:right w:val="none" w:sz="0" w:space="0" w:color="auto"/>
      </w:divBdr>
      <w:divsChild>
        <w:div w:id="1423069413">
          <w:marLeft w:val="0"/>
          <w:marRight w:val="0"/>
          <w:marTop w:val="0"/>
          <w:marBottom w:val="0"/>
          <w:divBdr>
            <w:top w:val="none" w:sz="0" w:space="0" w:color="auto"/>
            <w:left w:val="none" w:sz="0" w:space="0" w:color="auto"/>
            <w:bottom w:val="none" w:sz="0" w:space="0" w:color="auto"/>
            <w:right w:val="none" w:sz="0" w:space="0" w:color="auto"/>
          </w:divBdr>
          <w:divsChild>
            <w:div w:id="1941066173">
              <w:marLeft w:val="0"/>
              <w:marRight w:val="0"/>
              <w:marTop w:val="0"/>
              <w:marBottom w:val="0"/>
              <w:divBdr>
                <w:top w:val="none" w:sz="0" w:space="0" w:color="auto"/>
                <w:left w:val="none" w:sz="0" w:space="0" w:color="auto"/>
                <w:bottom w:val="none" w:sz="0" w:space="0" w:color="auto"/>
                <w:right w:val="none" w:sz="0" w:space="0" w:color="auto"/>
              </w:divBdr>
              <w:divsChild>
                <w:div w:id="1259410706">
                  <w:marLeft w:val="0"/>
                  <w:marRight w:val="0"/>
                  <w:marTop w:val="0"/>
                  <w:marBottom w:val="0"/>
                  <w:divBdr>
                    <w:top w:val="none" w:sz="0" w:space="0" w:color="auto"/>
                    <w:left w:val="none" w:sz="0" w:space="0" w:color="auto"/>
                    <w:bottom w:val="none" w:sz="0" w:space="0" w:color="auto"/>
                    <w:right w:val="none" w:sz="0" w:space="0" w:color="auto"/>
                  </w:divBdr>
                  <w:divsChild>
                    <w:div w:id="914633013">
                      <w:marLeft w:val="0"/>
                      <w:marRight w:val="0"/>
                      <w:marTop w:val="0"/>
                      <w:marBottom w:val="0"/>
                      <w:divBdr>
                        <w:top w:val="none" w:sz="0" w:space="0" w:color="auto"/>
                        <w:left w:val="none" w:sz="0" w:space="0" w:color="auto"/>
                        <w:bottom w:val="none" w:sz="0" w:space="0" w:color="auto"/>
                        <w:right w:val="none" w:sz="0" w:space="0" w:color="auto"/>
                      </w:divBdr>
                      <w:divsChild>
                        <w:div w:id="335380013">
                          <w:marLeft w:val="0"/>
                          <w:marRight w:val="0"/>
                          <w:marTop w:val="0"/>
                          <w:marBottom w:val="0"/>
                          <w:divBdr>
                            <w:top w:val="none" w:sz="0" w:space="0" w:color="auto"/>
                            <w:left w:val="none" w:sz="0" w:space="0" w:color="auto"/>
                            <w:bottom w:val="none" w:sz="0" w:space="0" w:color="auto"/>
                            <w:right w:val="none" w:sz="0" w:space="0" w:color="auto"/>
                          </w:divBdr>
                          <w:divsChild>
                            <w:div w:id="14747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822249">
      <w:bodyDiv w:val="1"/>
      <w:marLeft w:val="0"/>
      <w:marRight w:val="0"/>
      <w:marTop w:val="0"/>
      <w:marBottom w:val="0"/>
      <w:divBdr>
        <w:top w:val="none" w:sz="0" w:space="0" w:color="auto"/>
        <w:left w:val="none" w:sz="0" w:space="0" w:color="auto"/>
        <w:bottom w:val="none" w:sz="0" w:space="0" w:color="auto"/>
        <w:right w:val="none" w:sz="0" w:space="0" w:color="auto"/>
      </w:divBdr>
      <w:divsChild>
        <w:div w:id="1029985857">
          <w:marLeft w:val="0"/>
          <w:marRight w:val="0"/>
          <w:marTop w:val="0"/>
          <w:marBottom w:val="0"/>
          <w:divBdr>
            <w:top w:val="none" w:sz="0" w:space="0" w:color="auto"/>
            <w:left w:val="none" w:sz="0" w:space="0" w:color="auto"/>
            <w:bottom w:val="none" w:sz="0" w:space="0" w:color="auto"/>
            <w:right w:val="none" w:sz="0" w:space="0" w:color="auto"/>
          </w:divBdr>
          <w:divsChild>
            <w:div w:id="1202749437">
              <w:marLeft w:val="0"/>
              <w:marRight w:val="0"/>
              <w:marTop w:val="0"/>
              <w:marBottom w:val="0"/>
              <w:divBdr>
                <w:top w:val="none" w:sz="0" w:space="0" w:color="auto"/>
                <w:left w:val="none" w:sz="0" w:space="0" w:color="auto"/>
                <w:bottom w:val="none" w:sz="0" w:space="0" w:color="auto"/>
                <w:right w:val="none" w:sz="0" w:space="0" w:color="auto"/>
              </w:divBdr>
              <w:divsChild>
                <w:div w:id="96878081">
                  <w:marLeft w:val="0"/>
                  <w:marRight w:val="0"/>
                  <w:marTop w:val="0"/>
                  <w:marBottom w:val="0"/>
                  <w:divBdr>
                    <w:top w:val="none" w:sz="0" w:space="0" w:color="auto"/>
                    <w:left w:val="none" w:sz="0" w:space="0" w:color="auto"/>
                    <w:bottom w:val="none" w:sz="0" w:space="0" w:color="auto"/>
                    <w:right w:val="none" w:sz="0" w:space="0" w:color="auto"/>
                  </w:divBdr>
                  <w:divsChild>
                    <w:div w:id="964194359">
                      <w:marLeft w:val="0"/>
                      <w:marRight w:val="0"/>
                      <w:marTop w:val="0"/>
                      <w:marBottom w:val="0"/>
                      <w:divBdr>
                        <w:top w:val="none" w:sz="0" w:space="0" w:color="auto"/>
                        <w:left w:val="none" w:sz="0" w:space="0" w:color="auto"/>
                        <w:bottom w:val="none" w:sz="0" w:space="0" w:color="auto"/>
                        <w:right w:val="none" w:sz="0" w:space="0" w:color="auto"/>
                      </w:divBdr>
                      <w:divsChild>
                        <w:div w:id="684478161">
                          <w:marLeft w:val="0"/>
                          <w:marRight w:val="0"/>
                          <w:marTop w:val="0"/>
                          <w:marBottom w:val="0"/>
                          <w:divBdr>
                            <w:top w:val="none" w:sz="0" w:space="0" w:color="auto"/>
                            <w:left w:val="none" w:sz="0" w:space="0" w:color="auto"/>
                            <w:bottom w:val="none" w:sz="0" w:space="0" w:color="auto"/>
                            <w:right w:val="none" w:sz="0" w:space="0" w:color="auto"/>
                          </w:divBdr>
                          <w:divsChild>
                            <w:div w:id="2135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439657">
      <w:bodyDiv w:val="1"/>
      <w:marLeft w:val="0"/>
      <w:marRight w:val="0"/>
      <w:marTop w:val="0"/>
      <w:marBottom w:val="0"/>
      <w:divBdr>
        <w:top w:val="none" w:sz="0" w:space="0" w:color="auto"/>
        <w:left w:val="none" w:sz="0" w:space="0" w:color="auto"/>
        <w:bottom w:val="none" w:sz="0" w:space="0" w:color="auto"/>
        <w:right w:val="none" w:sz="0" w:space="0" w:color="auto"/>
      </w:divBdr>
      <w:divsChild>
        <w:div w:id="526261647">
          <w:marLeft w:val="0"/>
          <w:marRight w:val="0"/>
          <w:marTop w:val="0"/>
          <w:marBottom w:val="0"/>
          <w:divBdr>
            <w:top w:val="none" w:sz="0" w:space="0" w:color="auto"/>
            <w:left w:val="none" w:sz="0" w:space="0" w:color="auto"/>
            <w:bottom w:val="none" w:sz="0" w:space="0" w:color="auto"/>
            <w:right w:val="none" w:sz="0" w:space="0" w:color="auto"/>
          </w:divBdr>
          <w:divsChild>
            <w:div w:id="1675063174">
              <w:marLeft w:val="0"/>
              <w:marRight w:val="0"/>
              <w:marTop w:val="0"/>
              <w:marBottom w:val="0"/>
              <w:divBdr>
                <w:top w:val="none" w:sz="0" w:space="0" w:color="auto"/>
                <w:left w:val="none" w:sz="0" w:space="0" w:color="auto"/>
                <w:bottom w:val="none" w:sz="0" w:space="0" w:color="auto"/>
                <w:right w:val="none" w:sz="0" w:space="0" w:color="auto"/>
              </w:divBdr>
              <w:divsChild>
                <w:div w:id="512112183">
                  <w:marLeft w:val="0"/>
                  <w:marRight w:val="0"/>
                  <w:marTop w:val="0"/>
                  <w:marBottom w:val="0"/>
                  <w:divBdr>
                    <w:top w:val="none" w:sz="0" w:space="0" w:color="auto"/>
                    <w:left w:val="none" w:sz="0" w:space="0" w:color="auto"/>
                    <w:bottom w:val="none" w:sz="0" w:space="0" w:color="auto"/>
                    <w:right w:val="none" w:sz="0" w:space="0" w:color="auto"/>
                  </w:divBdr>
                  <w:divsChild>
                    <w:div w:id="150145709">
                      <w:marLeft w:val="0"/>
                      <w:marRight w:val="0"/>
                      <w:marTop w:val="0"/>
                      <w:marBottom w:val="0"/>
                      <w:divBdr>
                        <w:top w:val="none" w:sz="0" w:space="0" w:color="auto"/>
                        <w:left w:val="none" w:sz="0" w:space="0" w:color="auto"/>
                        <w:bottom w:val="none" w:sz="0" w:space="0" w:color="auto"/>
                        <w:right w:val="none" w:sz="0" w:space="0" w:color="auto"/>
                      </w:divBdr>
                      <w:divsChild>
                        <w:div w:id="547377755">
                          <w:marLeft w:val="0"/>
                          <w:marRight w:val="0"/>
                          <w:marTop w:val="0"/>
                          <w:marBottom w:val="0"/>
                          <w:divBdr>
                            <w:top w:val="none" w:sz="0" w:space="0" w:color="auto"/>
                            <w:left w:val="none" w:sz="0" w:space="0" w:color="auto"/>
                            <w:bottom w:val="none" w:sz="0" w:space="0" w:color="auto"/>
                            <w:right w:val="none" w:sz="0" w:space="0" w:color="auto"/>
                          </w:divBdr>
                          <w:divsChild>
                            <w:div w:id="19765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89215">
      <w:bodyDiv w:val="1"/>
      <w:marLeft w:val="0"/>
      <w:marRight w:val="0"/>
      <w:marTop w:val="0"/>
      <w:marBottom w:val="0"/>
      <w:divBdr>
        <w:top w:val="none" w:sz="0" w:space="0" w:color="auto"/>
        <w:left w:val="none" w:sz="0" w:space="0" w:color="auto"/>
        <w:bottom w:val="none" w:sz="0" w:space="0" w:color="auto"/>
        <w:right w:val="none" w:sz="0" w:space="0" w:color="auto"/>
      </w:divBdr>
      <w:divsChild>
        <w:div w:id="799152257">
          <w:marLeft w:val="0"/>
          <w:marRight w:val="0"/>
          <w:marTop w:val="0"/>
          <w:marBottom w:val="0"/>
          <w:divBdr>
            <w:top w:val="none" w:sz="0" w:space="0" w:color="auto"/>
            <w:left w:val="none" w:sz="0" w:space="0" w:color="auto"/>
            <w:bottom w:val="none" w:sz="0" w:space="0" w:color="auto"/>
            <w:right w:val="none" w:sz="0" w:space="0" w:color="auto"/>
          </w:divBdr>
          <w:divsChild>
            <w:div w:id="1516267645">
              <w:marLeft w:val="0"/>
              <w:marRight w:val="0"/>
              <w:marTop w:val="0"/>
              <w:marBottom w:val="0"/>
              <w:divBdr>
                <w:top w:val="none" w:sz="0" w:space="0" w:color="auto"/>
                <w:left w:val="none" w:sz="0" w:space="0" w:color="auto"/>
                <w:bottom w:val="none" w:sz="0" w:space="0" w:color="auto"/>
                <w:right w:val="none" w:sz="0" w:space="0" w:color="auto"/>
              </w:divBdr>
              <w:divsChild>
                <w:div w:id="1554654757">
                  <w:marLeft w:val="0"/>
                  <w:marRight w:val="0"/>
                  <w:marTop w:val="0"/>
                  <w:marBottom w:val="0"/>
                  <w:divBdr>
                    <w:top w:val="none" w:sz="0" w:space="0" w:color="auto"/>
                    <w:left w:val="none" w:sz="0" w:space="0" w:color="auto"/>
                    <w:bottom w:val="none" w:sz="0" w:space="0" w:color="auto"/>
                    <w:right w:val="none" w:sz="0" w:space="0" w:color="auto"/>
                  </w:divBdr>
                  <w:divsChild>
                    <w:div w:id="228347715">
                      <w:marLeft w:val="0"/>
                      <w:marRight w:val="0"/>
                      <w:marTop w:val="0"/>
                      <w:marBottom w:val="0"/>
                      <w:divBdr>
                        <w:top w:val="none" w:sz="0" w:space="0" w:color="auto"/>
                        <w:left w:val="none" w:sz="0" w:space="0" w:color="auto"/>
                        <w:bottom w:val="none" w:sz="0" w:space="0" w:color="auto"/>
                        <w:right w:val="none" w:sz="0" w:space="0" w:color="auto"/>
                      </w:divBdr>
                      <w:divsChild>
                        <w:div w:id="327942858">
                          <w:marLeft w:val="0"/>
                          <w:marRight w:val="0"/>
                          <w:marTop w:val="0"/>
                          <w:marBottom w:val="0"/>
                          <w:divBdr>
                            <w:top w:val="none" w:sz="0" w:space="0" w:color="auto"/>
                            <w:left w:val="none" w:sz="0" w:space="0" w:color="auto"/>
                            <w:bottom w:val="none" w:sz="0" w:space="0" w:color="auto"/>
                            <w:right w:val="none" w:sz="0" w:space="0" w:color="auto"/>
                          </w:divBdr>
                          <w:divsChild>
                            <w:div w:id="437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039701">
      <w:bodyDiv w:val="1"/>
      <w:marLeft w:val="0"/>
      <w:marRight w:val="0"/>
      <w:marTop w:val="0"/>
      <w:marBottom w:val="0"/>
      <w:divBdr>
        <w:top w:val="none" w:sz="0" w:space="0" w:color="auto"/>
        <w:left w:val="none" w:sz="0" w:space="0" w:color="auto"/>
        <w:bottom w:val="none" w:sz="0" w:space="0" w:color="auto"/>
        <w:right w:val="none" w:sz="0" w:space="0" w:color="auto"/>
      </w:divBdr>
      <w:divsChild>
        <w:div w:id="1301423658">
          <w:marLeft w:val="0"/>
          <w:marRight w:val="0"/>
          <w:marTop w:val="0"/>
          <w:marBottom w:val="0"/>
          <w:divBdr>
            <w:top w:val="none" w:sz="0" w:space="0" w:color="auto"/>
            <w:left w:val="none" w:sz="0" w:space="0" w:color="auto"/>
            <w:bottom w:val="none" w:sz="0" w:space="0" w:color="auto"/>
            <w:right w:val="none" w:sz="0" w:space="0" w:color="auto"/>
          </w:divBdr>
          <w:divsChild>
            <w:div w:id="1242326058">
              <w:marLeft w:val="0"/>
              <w:marRight w:val="0"/>
              <w:marTop w:val="0"/>
              <w:marBottom w:val="0"/>
              <w:divBdr>
                <w:top w:val="none" w:sz="0" w:space="0" w:color="auto"/>
                <w:left w:val="none" w:sz="0" w:space="0" w:color="auto"/>
                <w:bottom w:val="none" w:sz="0" w:space="0" w:color="auto"/>
                <w:right w:val="none" w:sz="0" w:space="0" w:color="auto"/>
              </w:divBdr>
              <w:divsChild>
                <w:div w:id="1589339895">
                  <w:marLeft w:val="0"/>
                  <w:marRight w:val="0"/>
                  <w:marTop w:val="0"/>
                  <w:marBottom w:val="0"/>
                  <w:divBdr>
                    <w:top w:val="none" w:sz="0" w:space="0" w:color="auto"/>
                    <w:left w:val="none" w:sz="0" w:space="0" w:color="auto"/>
                    <w:bottom w:val="none" w:sz="0" w:space="0" w:color="auto"/>
                    <w:right w:val="none" w:sz="0" w:space="0" w:color="auto"/>
                  </w:divBdr>
                  <w:divsChild>
                    <w:div w:id="1507283863">
                      <w:marLeft w:val="0"/>
                      <w:marRight w:val="0"/>
                      <w:marTop w:val="0"/>
                      <w:marBottom w:val="0"/>
                      <w:divBdr>
                        <w:top w:val="none" w:sz="0" w:space="0" w:color="auto"/>
                        <w:left w:val="none" w:sz="0" w:space="0" w:color="auto"/>
                        <w:bottom w:val="none" w:sz="0" w:space="0" w:color="auto"/>
                        <w:right w:val="none" w:sz="0" w:space="0" w:color="auto"/>
                      </w:divBdr>
                      <w:divsChild>
                        <w:div w:id="861169667">
                          <w:marLeft w:val="0"/>
                          <w:marRight w:val="0"/>
                          <w:marTop w:val="0"/>
                          <w:marBottom w:val="0"/>
                          <w:divBdr>
                            <w:top w:val="none" w:sz="0" w:space="0" w:color="auto"/>
                            <w:left w:val="none" w:sz="0" w:space="0" w:color="auto"/>
                            <w:bottom w:val="none" w:sz="0" w:space="0" w:color="auto"/>
                            <w:right w:val="none" w:sz="0" w:space="0" w:color="auto"/>
                          </w:divBdr>
                          <w:divsChild>
                            <w:div w:id="1001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191">
      <w:bodyDiv w:val="1"/>
      <w:marLeft w:val="0"/>
      <w:marRight w:val="0"/>
      <w:marTop w:val="0"/>
      <w:marBottom w:val="0"/>
      <w:divBdr>
        <w:top w:val="none" w:sz="0" w:space="0" w:color="auto"/>
        <w:left w:val="none" w:sz="0" w:space="0" w:color="auto"/>
        <w:bottom w:val="none" w:sz="0" w:space="0" w:color="auto"/>
        <w:right w:val="none" w:sz="0" w:space="0" w:color="auto"/>
      </w:divBdr>
      <w:divsChild>
        <w:div w:id="1688940995">
          <w:marLeft w:val="0"/>
          <w:marRight w:val="0"/>
          <w:marTop w:val="0"/>
          <w:marBottom w:val="0"/>
          <w:divBdr>
            <w:top w:val="none" w:sz="0" w:space="0" w:color="auto"/>
            <w:left w:val="none" w:sz="0" w:space="0" w:color="auto"/>
            <w:bottom w:val="none" w:sz="0" w:space="0" w:color="auto"/>
            <w:right w:val="none" w:sz="0" w:space="0" w:color="auto"/>
          </w:divBdr>
          <w:divsChild>
            <w:div w:id="1154756123">
              <w:marLeft w:val="0"/>
              <w:marRight w:val="0"/>
              <w:marTop w:val="0"/>
              <w:marBottom w:val="0"/>
              <w:divBdr>
                <w:top w:val="none" w:sz="0" w:space="0" w:color="auto"/>
                <w:left w:val="none" w:sz="0" w:space="0" w:color="auto"/>
                <w:bottom w:val="none" w:sz="0" w:space="0" w:color="auto"/>
                <w:right w:val="none" w:sz="0" w:space="0" w:color="auto"/>
              </w:divBdr>
              <w:divsChild>
                <w:div w:id="1170215142">
                  <w:marLeft w:val="0"/>
                  <w:marRight w:val="0"/>
                  <w:marTop w:val="0"/>
                  <w:marBottom w:val="0"/>
                  <w:divBdr>
                    <w:top w:val="none" w:sz="0" w:space="0" w:color="auto"/>
                    <w:left w:val="none" w:sz="0" w:space="0" w:color="auto"/>
                    <w:bottom w:val="none" w:sz="0" w:space="0" w:color="auto"/>
                    <w:right w:val="none" w:sz="0" w:space="0" w:color="auto"/>
                  </w:divBdr>
                  <w:divsChild>
                    <w:div w:id="169685317">
                      <w:marLeft w:val="0"/>
                      <w:marRight w:val="0"/>
                      <w:marTop w:val="0"/>
                      <w:marBottom w:val="0"/>
                      <w:divBdr>
                        <w:top w:val="none" w:sz="0" w:space="0" w:color="auto"/>
                        <w:left w:val="none" w:sz="0" w:space="0" w:color="auto"/>
                        <w:bottom w:val="none" w:sz="0" w:space="0" w:color="auto"/>
                        <w:right w:val="none" w:sz="0" w:space="0" w:color="auto"/>
                      </w:divBdr>
                      <w:divsChild>
                        <w:div w:id="435175058">
                          <w:marLeft w:val="0"/>
                          <w:marRight w:val="0"/>
                          <w:marTop w:val="0"/>
                          <w:marBottom w:val="0"/>
                          <w:divBdr>
                            <w:top w:val="none" w:sz="0" w:space="0" w:color="auto"/>
                            <w:left w:val="none" w:sz="0" w:space="0" w:color="auto"/>
                            <w:bottom w:val="none" w:sz="0" w:space="0" w:color="auto"/>
                            <w:right w:val="none" w:sz="0" w:space="0" w:color="auto"/>
                          </w:divBdr>
                          <w:divsChild>
                            <w:div w:id="8903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21271">
      <w:bodyDiv w:val="1"/>
      <w:marLeft w:val="0"/>
      <w:marRight w:val="0"/>
      <w:marTop w:val="0"/>
      <w:marBottom w:val="0"/>
      <w:divBdr>
        <w:top w:val="none" w:sz="0" w:space="0" w:color="auto"/>
        <w:left w:val="none" w:sz="0" w:space="0" w:color="auto"/>
        <w:bottom w:val="none" w:sz="0" w:space="0" w:color="auto"/>
        <w:right w:val="none" w:sz="0" w:space="0" w:color="auto"/>
      </w:divBdr>
      <w:divsChild>
        <w:div w:id="361513743">
          <w:marLeft w:val="0"/>
          <w:marRight w:val="0"/>
          <w:marTop w:val="0"/>
          <w:marBottom w:val="0"/>
          <w:divBdr>
            <w:top w:val="none" w:sz="0" w:space="0" w:color="auto"/>
            <w:left w:val="none" w:sz="0" w:space="0" w:color="auto"/>
            <w:bottom w:val="none" w:sz="0" w:space="0" w:color="auto"/>
            <w:right w:val="none" w:sz="0" w:space="0" w:color="auto"/>
          </w:divBdr>
          <w:divsChild>
            <w:div w:id="359211231">
              <w:marLeft w:val="0"/>
              <w:marRight w:val="0"/>
              <w:marTop w:val="0"/>
              <w:marBottom w:val="0"/>
              <w:divBdr>
                <w:top w:val="none" w:sz="0" w:space="0" w:color="auto"/>
                <w:left w:val="none" w:sz="0" w:space="0" w:color="auto"/>
                <w:bottom w:val="none" w:sz="0" w:space="0" w:color="auto"/>
                <w:right w:val="none" w:sz="0" w:space="0" w:color="auto"/>
              </w:divBdr>
              <w:divsChild>
                <w:div w:id="1564952521">
                  <w:marLeft w:val="0"/>
                  <w:marRight w:val="0"/>
                  <w:marTop w:val="0"/>
                  <w:marBottom w:val="0"/>
                  <w:divBdr>
                    <w:top w:val="none" w:sz="0" w:space="0" w:color="auto"/>
                    <w:left w:val="none" w:sz="0" w:space="0" w:color="auto"/>
                    <w:bottom w:val="none" w:sz="0" w:space="0" w:color="auto"/>
                    <w:right w:val="none" w:sz="0" w:space="0" w:color="auto"/>
                  </w:divBdr>
                  <w:divsChild>
                    <w:div w:id="1858500011">
                      <w:marLeft w:val="0"/>
                      <w:marRight w:val="0"/>
                      <w:marTop w:val="0"/>
                      <w:marBottom w:val="0"/>
                      <w:divBdr>
                        <w:top w:val="none" w:sz="0" w:space="0" w:color="auto"/>
                        <w:left w:val="none" w:sz="0" w:space="0" w:color="auto"/>
                        <w:bottom w:val="none" w:sz="0" w:space="0" w:color="auto"/>
                        <w:right w:val="none" w:sz="0" w:space="0" w:color="auto"/>
                      </w:divBdr>
                      <w:divsChild>
                        <w:div w:id="25833511">
                          <w:marLeft w:val="0"/>
                          <w:marRight w:val="0"/>
                          <w:marTop w:val="0"/>
                          <w:marBottom w:val="0"/>
                          <w:divBdr>
                            <w:top w:val="none" w:sz="0" w:space="0" w:color="auto"/>
                            <w:left w:val="none" w:sz="0" w:space="0" w:color="auto"/>
                            <w:bottom w:val="none" w:sz="0" w:space="0" w:color="auto"/>
                            <w:right w:val="none" w:sz="0" w:space="0" w:color="auto"/>
                          </w:divBdr>
                          <w:divsChild>
                            <w:div w:id="16061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557891">
      <w:bodyDiv w:val="1"/>
      <w:marLeft w:val="0"/>
      <w:marRight w:val="0"/>
      <w:marTop w:val="0"/>
      <w:marBottom w:val="0"/>
      <w:divBdr>
        <w:top w:val="none" w:sz="0" w:space="0" w:color="auto"/>
        <w:left w:val="none" w:sz="0" w:space="0" w:color="auto"/>
        <w:bottom w:val="none" w:sz="0" w:space="0" w:color="auto"/>
        <w:right w:val="none" w:sz="0" w:space="0" w:color="auto"/>
      </w:divBdr>
      <w:divsChild>
        <w:div w:id="1804233627">
          <w:marLeft w:val="0"/>
          <w:marRight w:val="0"/>
          <w:marTop w:val="0"/>
          <w:marBottom w:val="0"/>
          <w:divBdr>
            <w:top w:val="none" w:sz="0" w:space="0" w:color="auto"/>
            <w:left w:val="none" w:sz="0" w:space="0" w:color="auto"/>
            <w:bottom w:val="none" w:sz="0" w:space="0" w:color="auto"/>
            <w:right w:val="none" w:sz="0" w:space="0" w:color="auto"/>
          </w:divBdr>
          <w:divsChild>
            <w:div w:id="890654224">
              <w:marLeft w:val="0"/>
              <w:marRight w:val="0"/>
              <w:marTop w:val="0"/>
              <w:marBottom w:val="0"/>
              <w:divBdr>
                <w:top w:val="none" w:sz="0" w:space="0" w:color="auto"/>
                <w:left w:val="none" w:sz="0" w:space="0" w:color="auto"/>
                <w:bottom w:val="none" w:sz="0" w:space="0" w:color="auto"/>
                <w:right w:val="none" w:sz="0" w:space="0" w:color="auto"/>
              </w:divBdr>
              <w:divsChild>
                <w:div w:id="513807162">
                  <w:marLeft w:val="0"/>
                  <w:marRight w:val="0"/>
                  <w:marTop w:val="0"/>
                  <w:marBottom w:val="0"/>
                  <w:divBdr>
                    <w:top w:val="none" w:sz="0" w:space="0" w:color="auto"/>
                    <w:left w:val="none" w:sz="0" w:space="0" w:color="auto"/>
                    <w:bottom w:val="none" w:sz="0" w:space="0" w:color="auto"/>
                    <w:right w:val="none" w:sz="0" w:space="0" w:color="auto"/>
                  </w:divBdr>
                  <w:divsChild>
                    <w:div w:id="1958609113">
                      <w:marLeft w:val="0"/>
                      <w:marRight w:val="0"/>
                      <w:marTop w:val="0"/>
                      <w:marBottom w:val="0"/>
                      <w:divBdr>
                        <w:top w:val="none" w:sz="0" w:space="0" w:color="auto"/>
                        <w:left w:val="none" w:sz="0" w:space="0" w:color="auto"/>
                        <w:bottom w:val="none" w:sz="0" w:space="0" w:color="auto"/>
                        <w:right w:val="none" w:sz="0" w:space="0" w:color="auto"/>
                      </w:divBdr>
                      <w:divsChild>
                        <w:div w:id="630945249">
                          <w:marLeft w:val="0"/>
                          <w:marRight w:val="0"/>
                          <w:marTop w:val="0"/>
                          <w:marBottom w:val="0"/>
                          <w:divBdr>
                            <w:top w:val="none" w:sz="0" w:space="0" w:color="auto"/>
                            <w:left w:val="none" w:sz="0" w:space="0" w:color="auto"/>
                            <w:bottom w:val="none" w:sz="0" w:space="0" w:color="auto"/>
                            <w:right w:val="none" w:sz="0" w:space="0" w:color="auto"/>
                          </w:divBdr>
                          <w:divsChild>
                            <w:div w:id="15541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262129">
      <w:bodyDiv w:val="1"/>
      <w:marLeft w:val="0"/>
      <w:marRight w:val="0"/>
      <w:marTop w:val="0"/>
      <w:marBottom w:val="0"/>
      <w:divBdr>
        <w:top w:val="none" w:sz="0" w:space="0" w:color="auto"/>
        <w:left w:val="none" w:sz="0" w:space="0" w:color="auto"/>
        <w:bottom w:val="none" w:sz="0" w:space="0" w:color="auto"/>
        <w:right w:val="none" w:sz="0" w:space="0" w:color="auto"/>
      </w:divBdr>
      <w:divsChild>
        <w:div w:id="74937797">
          <w:marLeft w:val="0"/>
          <w:marRight w:val="0"/>
          <w:marTop w:val="0"/>
          <w:marBottom w:val="0"/>
          <w:divBdr>
            <w:top w:val="none" w:sz="0" w:space="0" w:color="auto"/>
            <w:left w:val="none" w:sz="0" w:space="0" w:color="auto"/>
            <w:bottom w:val="none" w:sz="0" w:space="0" w:color="auto"/>
            <w:right w:val="none" w:sz="0" w:space="0" w:color="auto"/>
          </w:divBdr>
          <w:divsChild>
            <w:div w:id="2030375263">
              <w:marLeft w:val="0"/>
              <w:marRight w:val="0"/>
              <w:marTop w:val="0"/>
              <w:marBottom w:val="0"/>
              <w:divBdr>
                <w:top w:val="none" w:sz="0" w:space="0" w:color="auto"/>
                <w:left w:val="none" w:sz="0" w:space="0" w:color="auto"/>
                <w:bottom w:val="none" w:sz="0" w:space="0" w:color="auto"/>
                <w:right w:val="none" w:sz="0" w:space="0" w:color="auto"/>
              </w:divBdr>
              <w:divsChild>
                <w:div w:id="1669136387">
                  <w:marLeft w:val="0"/>
                  <w:marRight w:val="0"/>
                  <w:marTop w:val="0"/>
                  <w:marBottom w:val="0"/>
                  <w:divBdr>
                    <w:top w:val="none" w:sz="0" w:space="0" w:color="auto"/>
                    <w:left w:val="none" w:sz="0" w:space="0" w:color="auto"/>
                    <w:bottom w:val="none" w:sz="0" w:space="0" w:color="auto"/>
                    <w:right w:val="none" w:sz="0" w:space="0" w:color="auto"/>
                  </w:divBdr>
                  <w:divsChild>
                    <w:div w:id="1123616551">
                      <w:marLeft w:val="0"/>
                      <w:marRight w:val="0"/>
                      <w:marTop w:val="0"/>
                      <w:marBottom w:val="0"/>
                      <w:divBdr>
                        <w:top w:val="none" w:sz="0" w:space="0" w:color="auto"/>
                        <w:left w:val="none" w:sz="0" w:space="0" w:color="auto"/>
                        <w:bottom w:val="none" w:sz="0" w:space="0" w:color="auto"/>
                        <w:right w:val="none" w:sz="0" w:space="0" w:color="auto"/>
                      </w:divBdr>
                      <w:divsChild>
                        <w:div w:id="936447145">
                          <w:marLeft w:val="0"/>
                          <w:marRight w:val="0"/>
                          <w:marTop w:val="0"/>
                          <w:marBottom w:val="0"/>
                          <w:divBdr>
                            <w:top w:val="none" w:sz="0" w:space="0" w:color="auto"/>
                            <w:left w:val="none" w:sz="0" w:space="0" w:color="auto"/>
                            <w:bottom w:val="none" w:sz="0" w:space="0" w:color="auto"/>
                            <w:right w:val="none" w:sz="0" w:space="0" w:color="auto"/>
                          </w:divBdr>
                          <w:divsChild>
                            <w:div w:id="2246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766987">
      <w:bodyDiv w:val="1"/>
      <w:marLeft w:val="0"/>
      <w:marRight w:val="0"/>
      <w:marTop w:val="0"/>
      <w:marBottom w:val="0"/>
      <w:divBdr>
        <w:top w:val="none" w:sz="0" w:space="0" w:color="auto"/>
        <w:left w:val="none" w:sz="0" w:space="0" w:color="auto"/>
        <w:bottom w:val="none" w:sz="0" w:space="0" w:color="auto"/>
        <w:right w:val="none" w:sz="0" w:space="0" w:color="auto"/>
      </w:divBdr>
      <w:divsChild>
        <w:div w:id="2008240142">
          <w:marLeft w:val="0"/>
          <w:marRight w:val="0"/>
          <w:marTop w:val="0"/>
          <w:marBottom w:val="0"/>
          <w:divBdr>
            <w:top w:val="none" w:sz="0" w:space="0" w:color="auto"/>
            <w:left w:val="none" w:sz="0" w:space="0" w:color="auto"/>
            <w:bottom w:val="none" w:sz="0" w:space="0" w:color="auto"/>
            <w:right w:val="none" w:sz="0" w:space="0" w:color="auto"/>
          </w:divBdr>
          <w:divsChild>
            <w:div w:id="305665889">
              <w:marLeft w:val="0"/>
              <w:marRight w:val="0"/>
              <w:marTop w:val="0"/>
              <w:marBottom w:val="0"/>
              <w:divBdr>
                <w:top w:val="none" w:sz="0" w:space="0" w:color="auto"/>
                <w:left w:val="none" w:sz="0" w:space="0" w:color="auto"/>
                <w:bottom w:val="none" w:sz="0" w:space="0" w:color="auto"/>
                <w:right w:val="none" w:sz="0" w:space="0" w:color="auto"/>
              </w:divBdr>
              <w:divsChild>
                <w:div w:id="1661419211">
                  <w:marLeft w:val="0"/>
                  <w:marRight w:val="0"/>
                  <w:marTop w:val="0"/>
                  <w:marBottom w:val="0"/>
                  <w:divBdr>
                    <w:top w:val="none" w:sz="0" w:space="0" w:color="auto"/>
                    <w:left w:val="none" w:sz="0" w:space="0" w:color="auto"/>
                    <w:bottom w:val="none" w:sz="0" w:space="0" w:color="auto"/>
                    <w:right w:val="none" w:sz="0" w:space="0" w:color="auto"/>
                  </w:divBdr>
                  <w:divsChild>
                    <w:div w:id="1806509168">
                      <w:marLeft w:val="0"/>
                      <w:marRight w:val="0"/>
                      <w:marTop w:val="0"/>
                      <w:marBottom w:val="0"/>
                      <w:divBdr>
                        <w:top w:val="none" w:sz="0" w:space="0" w:color="auto"/>
                        <w:left w:val="none" w:sz="0" w:space="0" w:color="auto"/>
                        <w:bottom w:val="none" w:sz="0" w:space="0" w:color="auto"/>
                        <w:right w:val="none" w:sz="0" w:space="0" w:color="auto"/>
                      </w:divBdr>
                      <w:divsChild>
                        <w:div w:id="1530217539">
                          <w:marLeft w:val="0"/>
                          <w:marRight w:val="0"/>
                          <w:marTop w:val="0"/>
                          <w:marBottom w:val="0"/>
                          <w:divBdr>
                            <w:top w:val="none" w:sz="0" w:space="0" w:color="auto"/>
                            <w:left w:val="none" w:sz="0" w:space="0" w:color="auto"/>
                            <w:bottom w:val="none" w:sz="0" w:space="0" w:color="auto"/>
                            <w:right w:val="none" w:sz="0" w:space="0" w:color="auto"/>
                          </w:divBdr>
                          <w:divsChild>
                            <w:div w:id="1981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434740">
      <w:bodyDiv w:val="1"/>
      <w:marLeft w:val="0"/>
      <w:marRight w:val="0"/>
      <w:marTop w:val="0"/>
      <w:marBottom w:val="0"/>
      <w:divBdr>
        <w:top w:val="none" w:sz="0" w:space="0" w:color="auto"/>
        <w:left w:val="none" w:sz="0" w:space="0" w:color="auto"/>
        <w:bottom w:val="none" w:sz="0" w:space="0" w:color="auto"/>
        <w:right w:val="none" w:sz="0" w:space="0" w:color="auto"/>
      </w:divBdr>
      <w:divsChild>
        <w:div w:id="1508329208">
          <w:marLeft w:val="0"/>
          <w:marRight w:val="0"/>
          <w:marTop w:val="0"/>
          <w:marBottom w:val="0"/>
          <w:divBdr>
            <w:top w:val="none" w:sz="0" w:space="0" w:color="auto"/>
            <w:left w:val="none" w:sz="0" w:space="0" w:color="auto"/>
            <w:bottom w:val="none" w:sz="0" w:space="0" w:color="auto"/>
            <w:right w:val="none" w:sz="0" w:space="0" w:color="auto"/>
          </w:divBdr>
          <w:divsChild>
            <w:div w:id="1724912974">
              <w:marLeft w:val="0"/>
              <w:marRight w:val="0"/>
              <w:marTop w:val="0"/>
              <w:marBottom w:val="0"/>
              <w:divBdr>
                <w:top w:val="none" w:sz="0" w:space="0" w:color="auto"/>
                <w:left w:val="none" w:sz="0" w:space="0" w:color="auto"/>
                <w:bottom w:val="none" w:sz="0" w:space="0" w:color="auto"/>
                <w:right w:val="none" w:sz="0" w:space="0" w:color="auto"/>
              </w:divBdr>
              <w:divsChild>
                <w:div w:id="581333196">
                  <w:marLeft w:val="0"/>
                  <w:marRight w:val="0"/>
                  <w:marTop w:val="0"/>
                  <w:marBottom w:val="0"/>
                  <w:divBdr>
                    <w:top w:val="none" w:sz="0" w:space="0" w:color="auto"/>
                    <w:left w:val="none" w:sz="0" w:space="0" w:color="auto"/>
                    <w:bottom w:val="none" w:sz="0" w:space="0" w:color="auto"/>
                    <w:right w:val="none" w:sz="0" w:space="0" w:color="auto"/>
                  </w:divBdr>
                  <w:divsChild>
                    <w:div w:id="186409538">
                      <w:marLeft w:val="0"/>
                      <w:marRight w:val="0"/>
                      <w:marTop w:val="0"/>
                      <w:marBottom w:val="0"/>
                      <w:divBdr>
                        <w:top w:val="none" w:sz="0" w:space="0" w:color="auto"/>
                        <w:left w:val="none" w:sz="0" w:space="0" w:color="auto"/>
                        <w:bottom w:val="none" w:sz="0" w:space="0" w:color="auto"/>
                        <w:right w:val="none" w:sz="0" w:space="0" w:color="auto"/>
                      </w:divBdr>
                      <w:divsChild>
                        <w:div w:id="239946737">
                          <w:marLeft w:val="0"/>
                          <w:marRight w:val="0"/>
                          <w:marTop w:val="0"/>
                          <w:marBottom w:val="0"/>
                          <w:divBdr>
                            <w:top w:val="none" w:sz="0" w:space="0" w:color="auto"/>
                            <w:left w:val="none" w:sz="0" w:space="0" w:color="auto"/>
                            <w:bottom w:val="none" w:sz="0" w:space="0" w:color="auto"/>
                            <w:right w:val="none" w:sz="0" w:space="0" w:color="auto"/>
                          </w:divBdr>
                          <w:divsChild>
                            <w:div w:id="21258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67938">
      <w:bodyDiv w:val="1"/>
      <w:marLeft w:val="0"/>
      <w:marRight w:val="0"/>
      <w:marTop w:val="0"/>
      <w:marBottom w:val="0"/>
      <w:divBdr>
        <w:top w:val="none" w:sz="0" w:space="0" w:color="auto"/>
        <w:left w:val="none" w:sz="0" w:space="0" w:color="auto"/>
        <w:bottom w:val="none" w:sz="0" w:space="0" w:color="auto"/>
        <w:right w:val="none" w:sz="0" w:space="0" w:color="auto"/>
      </w:divBdr>
      <w:divsChild>
        <w:div w:id="59719660">
          <w:marLeft w:val="0"/>
          <w:marRight w:val="0"/>
          <w:marTop w:val="0"/>
          <w:marBottom w:val="0"/>
          <w:divBdr>
            <w:top w:val="none" w:sz="0" w:space="0" w:color="auto"/>
            <w:left w:val="none" w:sz="0" w:space="0" w:color="auto"/>
            <w:bottom w:val="none" w:sz="0" w:space="0" w:color="auto"/>
            <w:right w:val="none" w:sz="0" w:space="0" w:color="auto"/>
          </w:divBdr>
          <w:divsChild>
            <w:div w:id="909002353">
              <w:marLeft w:val="0"/>
              <w:marRight w:val="0"/>
              <w:marTop w:val="0"/>
              <w:marBottom w:val="0"/>
              <w:divBdr>
                <w:top w:val="none" w:sz="0" w:space="0" w:color="auto"/>
                <w:left w:val="none" w:sz="0" w:space="0" w:color="auto"/>
                <w:bottom w:val="none" w:sz="0" w:space="0" w:color="auto"/>
                <w:right w:val="none" w:sz="0" w:space="0" w:color="auto"/>
              </w:divBdr>
              <w:divsChild>
                <w:div w:id="1340160319">
                  <w:marLeft w:val="0"/>
                  <w:marRight w:val="0"/>
                  <w:marTop w:val="0"/>
                  <w:marBottom w:val="0"/>
                  <w:divBdr>
                    <w:top w:val="none" w:sz="0" w:space="0" w:color="auto"/>
                    <w:left w:val="none" w:sz="0" w:space="0" w:color="auto"/>
                    <w:bottom w:val="none" w:sz="0" w:space="0" w:color="auto"/>
                    <w:right w:val="none" w:sz="0" w:space="0" w:color="auto"/>
                  </w:divBdr>
                  <w:divsChild>
                    <w:div w:id="958686757">
                      <w:marLeft w:val="0"/>
                      <w:marRight w:val="0"/>
                      <w:marTop w:val="0"/>
                      <w:marBottom w:val="0"/>
                      <w:divBdr>
                        <w:top w:val="none" w:sz="0" w:space="0" w:color="auto"/>
                        <w:left w:val="none" w:sz="0" w:space="0" w:color="auto"/>
                        <w:bottom w:val="none" w:sz="0" w:space="0" w:color="auto"/>
                        <w:right w:val="none" w:sz="0" w:space="0" w:color="auto"/>
                      </w:divBdr>
                      <w:divsChild>
                        <w:div w:id="939340995">
                          <w:marLeft w:val="0"/>
                          <w:marRight w:val="0"/>
                          <w:marTop w:val="0"/>
                          <w:marBottom w:val="0"/>
                          <w:divBdr>
                            <w:top w:val="none" w:sz="0" w:space="0" w:color="auto"/>
                            <w:left w:val="none" w:sz="0" w:space="0" w:color="auto"/>
                            <w:bottom w:val="none" w:sz="0" w:space="0" w:color="auto"/>
                            <w:right w:val="none" w:sz="0" w:space="0" w:color="auto"/>
                          </w:divBdr>
                          <w:divsChild>
                            <w:div w:id="1507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838153">
      <w:bodyDiv w:val="1"/>
      <w:marLeft w:val="0"/>
      <w:marRight w:val="0"/>
      <w:marTop w:val="0"/>
      <w:marBottom w:val="0"/>
      <w:divBdr>
        <w:top w:val="none" w:sz="0" w:space="0" w:color="auto"/>
        <w:left w:val="none" w:sz="0" w:space="0" w:color="auto"/>
        <w:bottom w:val="none" w:sz="0" w:space="0" w:color="auto"/>
        <w:right w:val="none" w:sz="0" w:space="0" w:color="auto"/>
      </w:divBdr>
      <w:divsChild>
        <w:div w:id="310213079">
          <w:marLeft w:val="0"/>
          <w:marRight w:val="0"/>
          <w:marTop w:val="0"/>
          <w:marBottom w:val="0"/>
          <w:divBdr>
            <w:top w:val="none" w:sz="0" w:space="0" w:color="auto"/>
            <w:left w:val="none" w:sz="0" w:space="0" w:color="auto"/>
            <w:bottom w:val="none" w:sz="0" w:space="0" w:color="auto"/>
            <w:right w:val="none" w:sz="0" w:space="0" w:color="auto"/>
          </w:divBdr>
          <w:divsChild>
            <w:div w:id="401610424">
              <w:marLeft w:val="0"/>
              <w:marRight w:val="0"/>
              <w:marTop w:val="0"/>
              <w:marBottom w:val="0"/>
              <w:divBdr>
                <w:top w:val="none" w:sz="0" w:space="0" w:color="auto"/>
                <w:left w:val="none" w:sz="0" w:space="0" w:color="auto"/>
                <w:bottom w:val="none" w:sz="0" w:space="0" w:color="auto"/>
                <w:right w:val="none" w:sz="0" w:space="0" w:color="auto"/>
              </w:divBdr>
              <w:divsChild>
                <w:div w:id="1387676901">
                  <w:marLeft w:val="0"/>
                  <w:marRight w:val="0"/>
                  <w:marTop w:val="0"/>
                  <w:marBottom w:val="0"/>
                  <w:divBdr>
                    <w:top w:val="none" w:sz="0" w:space="0" w:color="auto"/>
                    <w:left w:val="none" w:sz="0" w:space="0" w:color="auto"/>
                    <w:bottom w:val="none" w:sz="0" w:space="0" w:color="auto"/>
                    <w:right w:val="none" w:sz="0" w:space="0" w:color="auto"/>
                  </w:divBdr>
                  <w:divsChild>
                    <w:div w:id="1148935180">
                      <w:marLeft w:val="0"/>
                      <w:marRight w:val="0"/>
                      <w:marTop w:val="0"/>
                      <w:marBottom w:val="0"/>
                      <w:divBdr>
                        <w:top w:val="none" w:sz="0" w:space="0" w:color="auto"/>
                        <w:left w:val="none" w:sz="0" w:space="0" w:color="auto"/>
                        <w:bottom w:val="none" w:sz="0" w:space="0" w:color="auto"/>
                        <w:right w:val="none" w:sz="0" w:space="0" w:color="auto"/>
                      </w:divBdr>
                      <w:divsChild>
                        <w:div w:id="1262836390">
                          <w:marLeft w:val="0"/>
                          <w:marRight w:val="0"/>
                          <w:marTop w:val="0"/>
                          <w:marBottom w:val="0"/>
                          <w:divBdr>
                            <w:top w:val="none" w:sz="0" w:space="0" w:color="auto"/>
                            <w:left w:val="none" w:sz="0" w:space="0" w:color="auto"/>
                            <w:bottom w:val="none" w:sz="0" w:space="0" w:color="auto"/>
                            <w:right w:val="none" w:sz="0" w:space="0" w:color="auto"/>
                          </w:divBdr>
                          <w:divsChild>
                            <w:div w:id="721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557545">
      <w:bodyDiv w:val="1"/>
      <w:marLeft w:val="0"/>
      <w:marRight w:val="0"/>
      <w:marTop w:val="0"/>
      <w:marBottom w:val="0"/>
      <w:divBdr>
        <w:top w:val="none" w:sz="0" w:space="0" w:color="auto"/>
        <w:left w:val="none" w:sz="0" w:space="0" w:color="auto"/>
        <w:bottom w:val="none" w:sz="0" w:space="0" w:color="auto"/>
        <w:right w:val="none" w:sz="0" w:space="0" w:color="auto"/>
      </w:divBdr>
      <w:divsChild>
        <w:div w:id="1231697939">
          <w:marLeft w:val="0"/>
          <w:marRight w:val="0"/>
          <w:marTop w:val="0"/>
          <w:marBottom w:val="0"/>
          <w:divBdr>
            <w:top w:val="none" w:sz="0" w:space="0" w:color="auto"/>
            <w:left w:val="none" w:sz="0" w:space="0" w:color="auto"/>
            <w:bottom w:val="none" w:sz="0" w:space="0" w:color="auto"/>
            <w:right w:val="none" w:sz="0" w:space="0" w:color="auto"/>
          </w:divBdr>
          <w:divsChild>
            <w:div w:id="579560814">
              <w:marLeft w:val="0"/>
              <w:marRight w:val="0"/>
              <w:marTop w:val="0"/>
              <w:marBottom w:val="0"/>
              <w:divBdr>
                <w:top w:val="none" w:sz="0" w:space="0" w:color="auto"/>
                <w:left w:val="none" w:sz="0" w:space="0" w:color="auto"/>
                <w:bottom w:val="none" w:sz="0" w:space="0" w:color="auto"/>
                <w:right w:val="none" w:sz="0" w:space="0" w:color="auto"/>
              </w:divBdr>
              <w:divsChild>
                <w:div w:id="750152662">
                  <w:marLeft w:val="0"/>
                  <w:marRight w:val="0"/>
                  <w:marTop w:val="0"/>
                  <w:marBottom w:val="0"/>
                  <w:divBdr>
                    <w:top w:val="none" w:sz="0" w:space="0" w:color="auto"/>
                    <w:left w:val="none" w:sz="0" w:space="0" w:color="auto"/>
                    <w:bottom w:val="none" w:sz="0" w:space="0" w:color="auto"/>
                    <w:right w:val="none" w:sz="0" w:space="0" w:color="auto"/>
                  </w:divBdr>
                  <w:divsChild>
                    <w:div w:id="1392540515">
                      <w:marLeft w:val="0"/>
                      <w:marRight w:val="0"/>
                      <w:marTop w:val="0"/>
                      <w:marBottom w:val="0"/>
                      <w:divBdr>
                        <w:top w:val="none" w:sz="0" w:space="0" w:color="auto"/>
                        <w:left w:val="none" w:sz="0" w:space="0" w:color="auto"/>
                        <w:bottom w:val="none" w:sz="0" w:space="0" w:color="auto"/>
                        <w:right w:val="none" w:sz="0" w:space="0" w:color="auto"/>
                      </w:divBdr>
                      <w:divsChild>
                        <w:div w:id="596593798">
                          <w:marLeft w:val="0"/>
                          <w:marRight w:val="0"/>
                          <w:marTop w:val="0"/>
                          <w:marBottom w:val="0"/>
                          <w:divBdr>
                            <w:top w:val="none" w:sz="0" w:space="0" w:color="auto"/>
                            <w:left w:val="none" w:sz="0" w:space="0" w:color="auto"/>
                            <w:bottom w:val="none" w:sz="0" w:space="0" w:color="auto"/>
                            <w:right w:val="none" w:sz="0" w:space="0" w:color="auto"/>
                          </w:divBdr>
                          <w:divsChild>
                            <w:div w:id="11597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865476">
      <w:bodyDiv w:val="1"/>
      <w:marLeft w:val="0"/>
      <w:marRight w:val="0"/>
      <w:marTop w:val="0"/>
      <w:marBottom w:val="0"/>
      <w:divBdr>
        <w:top w:val="none" w:sz="0" w:space="0" w:color="auto"/>
        <w:left w:val="none" w:sz="0" w:space="0" w:color="auto"/>
        <w:bottom w:val="none" w:sz="0" w:space="0" w:color="auto"/>
        <w:right w:val="none" w:sz="0" w:space="0" w:color="auto"/>
      </w:divBdr>
    </w:div>
    <w:div w:id="1421177883">
      <w:bodyDiv w:val="1"/>
      <w:marLeft w:val="0"/>
      <w:marRight w:val="0"/>
      <w:marTop w:val="0"/>
      <w:marBottom w:val="0"/>
      <w:divBdr>
        <w:top w:val="none" w:sz="0" w:space="0" w:color="auto"/>
        <w:left w:val="none" w:sz="0" w:space="0" w:color="auto"/>
        <w:bottom w:val="none" w:sz="0" w:space="0" w:color="auto"/>
        <w:right w:val="none" w:sz="0" w:space="0" w:color="auto"/>
      </w:divBdr>
      <w:divsChild>
        <w:div w:id="201213165">
          <w:marLeft w:val="0"/>
          <w:marRight w:val="0"/>
          <w:marTop w:val="0"/>
          <w:marBottom w:val="0"/>
          <w:divBdr>
            <w:top w:val="none" w:sz="0" w:space="0" w:color="auto"/>
            <w:left w:val="none" w:sz="0" w:space="0" w:color="auto"/>
            <w:bottom w:val="none" w:sz="0" w:space="0" w:color="auto"/>
            <w:right w:val="none" w:sz="0" w:space="0" w:color="auto"/>
          </w:divBdr>
          <w:divsChild>
            <w:div w:id="1895116033">
              <w:marLeft w:val="0"/>
              <w:marRight w:val="0"/>
              <w:marTop w:val="0"/>
              <w:marBottom w:val="0"/>
              <w:divBdr>
                <w:top w:val="none" w:sz="0" w:space="0" w:color="auto"/>
                <w:left w:val="none" w:sz="0" w:space="0" w:color="auto"/>
                <w:bottom w:val="none" w:sz="0" w:space="0" w:color="auto"/>
                <w:right w:val="none" w:sz="0" w:space="0" w:color="auto"/>
              </w:divBdr>
              <w:divsChild>
                <w:div w:id="1316840998">
                  <w:marLeft w:val="0"/>
                  <w:marRight w:val="0"/>
                  <w:marTop w:val="0"/>
                  <w:marBottom w:val="0"/>
                  <w:divBdr>
                    <w:top w:val="none" w:sz="0" w:space="0" w:color="auto"/>
                    <w:left w:val="none" w:sz="0" w:space="0" w:color="auto"/>
                    <w:bottom w:val="none" w:sz="0" w:space="0" w:color="auto"/>
                    <w:right w:val="none" w:sz="0" w:space="0" w:color="auto"/>
                  </w:divBdr>
                  <w:divsChild>
                    <w:div w:id="1022589692">
                      <w:marLeft w:val="0"/>
                      <w:marRight w:val="0"/>
                      <w:marTop w:val="0"/>
                      <w:marBottom w:val="0"/>
                      <w:divBdr>
                        <w:top w:val="none" w:sz="0" w:space="0" w:color="auto"/>
                        <w:left w:val="none" w:sz="0" w:space="0" w:color="auto"/>
                        <w:bottom w:val="none" w:sz="0" w:space="0" w:color="auto"/>
                        <w:right w:val="none" w:sz="0" w:space="0" w:color="auto"/>
                      </w:divBdr>
                      <w:divsChild>
                        <w:div w:id="487670633">
                          <w:marLeft w:val="0"/>
                          <w:marRight w:val="0"/>
                          <w:marTop w:val="0"/>
                          <w:marBottom w:val="0"/>
                          <w:divBdr>
                            <w:top w:val="none" w:sz="0" w:space="0" w:color="auto"/>
                            <w:left w:val="none" w:sz="0" w:space="0" w:color="auto"/>
                            <w:bottom w:val="none" w:sz="0" w:space="0" w:color="auto"/>
                            <w:right w:val="none" w:sz="0" w:space="0" w:color="auto"/>
                          </w:divBdr>
                          <w:divsChild>
                            <w:div w:id="7881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75268">
      <w:bodyDiv w:val="1"/>
      <w:marLeft w:val="0"/>
      <w:marRight w:val="0"/>
      <w:marTop w:val="0"/>
      <w:marBottom w:val="0"/>
      <w:divBdr>
        <w:top w:val="none" w:sz="0" w:space="0" w:color="auto"/>
        <w:left w:val="none" w:sz="0" w:space="0" w:color="auto"/>
        <w:bottom w:val="none" w:sz="0" w:space="0" w:color="auto"/>
        <w:right w:val="none" w:sz="0" w:space="0" w:color="auto"/>
      </w:divBdr>
      <w:divsChild>
        <w:div w:id="658777693">
          <w:marLeft w:val="0"/>
          <w:marRight w:val="0"/>
          <w:marTop w:val="0"/>
          <w:marBottom w:val="0"/>
          <w:divBdr>
            <w:top w:val="none" w:sz="0" w:space="0" w:color="auto"/>
            <w:left w:val="none" w:sz="0" w:space="0" w:color="auto"/>
            <w:bottom w:val="none" w:sz="0" w:space="0" w:color="auto"/>
            <w:right w:val="none" w:sz="0" w:space="0" w:color="auto"/>
          </w:divBdr>
          <w:divsChild>
            <w:div w:id="1796485081">
              <w:marLeft w:val="0"/>
              <w:marRight w:val="0"/>
              <w:marTop w:val="0"/>
              <w:marBottom w:val="0"/>
              <w:divBdr>
                <w:top w:val="none" w:sz="0" w:space="0" w:color="auto"/>
                <w:left w:val="none" w:sz="0" w:space="0" w:color="auto"/>
                <w:bottom w:val="none" w:sz="0" w:space="0" w:color="auto"/>
                <w:right w:val="none" w:sz="0" w:space="0" w:color="auto"/>
              </w:divBdr>
              <w:divsChild>
                <w:div w:id="1624535064">
                  <w:marLeft w:val="0"/>
                  <w:marRight w:val="0"/>
                  <w:marTop w:val="0"/>
                  <w:marBottom w:val="0"/>
                  <w:divBdr>
                    <w:top w:val="none" w:sz="0" w:space="0" w:color="auto"/>
                    <w:left w:val="none" w:sz="0" w:space="0" w:color="auto"/>
                    <w:bottom w:val="none" w:sz="0" w:space="0" w:color="auto"/>
                    <w:right w:val="none" w:sz="0" w:space="0" w:color="auto"/>
                  </w:divBdr>
                  <w:divsChild>
                    <w:div w:id="1364600413">
                      <w:marLeft w:val="0"/>
                      <w:marRight w:val="0"/>
                      <w:marTop w:val="0"/>
                      <w:marBottom w:val="0"/>
                      <w:divBdr>
                        <w:top w:val="none" w:sz="0" w:space="0" w:color="auto"/>
                        <w:left w:val="none" w:sz="0" w:space="0" w:color="auto"/>
                        <w:bottom w:val="none" w:sz="0" w:space="0" w:color="auto"/>
                        <w:right w:val="none" w:sz="0" w:space="0" w:color="auto"/>
                      </w:divBdr>
                      <w:divsChild>
                        <w:div w:id="450172798">
                          <w:marLeft w:val="0"/>
                          <w:marRight w:val="0"/>
                          <w:marTop w:val="0"/>
                          <w:marBottom w:val="0"/>
                          <w:divBdr>
                            <w:top w:val="none" w:sz="0" w:space="0" w:color="auto"/>
                            <w:left w:val="none" w:sz="0" w:space="0" w:color="auto"/>
                            <w:bottom w:val="none" w:sz="0" w:space="0" w:color="auto"/>
                            <w:right w:val="none" w:sz="0" w:space="0" w:color="auto"/>
                          </w:divBdr>
                          <w:divsChild>
                            <w:div w:id="11741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96300030">
      <w:bodyDiv w:val="1"/>
      <w:marLeft w:val="0"/>
      <w:marRight w:val="0"/>
      <w:marTop w:val="0"/>
      <w:marBottom w:val="0"/>
      <w:divBdr>
        <w:top w:val="none" w:sz="0" w:space="0" w:color="auto"/>
        <w:left w:val="none" w:sz="0" w:space="0" w:color="auto"/>
        <w:bottom w:val="none" w:sz="0" w:space="0" w:color="auto"/>
        <w:right w:val="none" w:sz="0" w:space="0" w:color="auto"/>
      </w:divBdr>
    </w:div>
    <w:div w:id="1698697299">
      <w:bodyDiv w:val="1"/>
      <w:marLeft w:val="0"/>
      <w:marRight w:val="0"/>
      <w:marTop w:val="0"/>
      <w:marBottom w:val="0"/>
      <w:divBdr>
        <w:top w:val="none" w:sz="0" w:space="0" w:color="auto"/>
        <w:left w:val="none" w:sz="0" w:space="0" w:color="auto"/>
        <w:bottom w:val="none" w:sz="0" w:space="0" w:color="auto"/>
        <w:right w:val="none" w:sz="0" w:space="0" w:color="auto"/>
      </w:divBdr>
      <w:divsChild>
        <w:div w:id="1649478509">
          <w:marLeft w:val="0"/>
          <w:marRight w:val="0"/>
          <w:marTop w:val="0"/>
          <w:marBottom w:val="0"/>
          <w:divBdr>
            <w:top w:val="none" w:sz="0" w:space="0" w:color="auto"/>
            <w:left w:val="none" w:sz="0" w:space="0" w:color="auto"/>
            <w:bottom w:val="none" w:sz="0" w:space="0" w:color="auto"/>
            <w:right w:val="none" w:sz="0" w:space="0" w:color="auto"/>
          </w:divBdr>
          <w:divsChild>
            <w:div w:id="965814020">
              <w:marLeft w:val="0"/>
              <w:marRight w:val="0"/>
              <w:marTop w:val="0"/>
              <w:marBottom w:val="0"/>
              <w:divBdr>
                <w:top w:val="none" w:sz="0" w:space="0" w:color="auto"/>
                <w:left w:val="none" w:sz="0" w:space="0" w:color="auto"/>
                <w:bottom w:val="none" w:sz="0" w:space="0" w:color="auto"/>
                <w:right w:val="none" w:sz="0" w:space="0" w:color="auto"/>
              </w:divBdr>
              <w:divsChild>
                <w:div w:id="700518709">
                  <w:marLeft w:val="0"/>
                  <w:marRight w:val="0"/>
                  <w:marTop w:val="0"/>
                  <w:marBottom w:val="0"/>
                  <w:divBdr>
                    <w:top w:val="none" w:sz="0" w:space="0" w:color="auto"/>
                    <w:left w:val="none" w:sz="0" w:space="0" w:color="auto"/>
                    <w:bottom w:val="none" w:sz="0" w:space="0" w:color="auto"/>
                    <w:right w:val="none" w:sz="0" w:space="0" w:color="auto"/>
                  </w:divBdr>
                  <w:divsChild>
                    <w:div w:id="1442871722">
                      <w:marLeft w:val="0"/>
                      <w:marRight w:val="0"/>
                      <w:marTop w:val="0"/>
                      <w:marBottom w:val="0"/>
                      <w:divBdr>
                        <w:top w:val="none" w:sz="0" w:space="0" w:color="auto"/>
                        <w:left w:val="none" w:sz="0" w:space="0" w:color="auto"/>
                        <w:bottom w:val="none" w:sz="0" w:space="0" w:color="auto"/>
                        <w:right w:val="none" w:sz="0" w:space="0" w:color="auto"/>
                      </w:divBdr>
                      <w:divsChild>
                        <w:div w:id="2041735251">
                          <w:marLeft w:val="0"/>
                          <w:marRight w:val="0"/>
                          <w:marTop w:val="0"/>
                          <w:marBottom w:val="0"/>
                          <w:divBdr>
                            <w:top w:val="none" w:sz="0" w:space="0" w:color="auto"/>
                            <w:left w:val="none" w:sz="0" w:space="0" w:color="auto"/>
                            <w:bottom w:val="none" w:sz="0" w:space="0" w:color="auto"/>
                            <w:right w:val="none" w:sz="0" w:space="0" w:color="auto"/>
                          </w:divBdr>
                          <w:divsChild>
                            <w:div w:id="6048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49225">
      <w:bodyDiv w:val="1"/>
      <w:marLeft w:val="0"/>
      <w:marRight w:val="0"/>
      <w:marTop w:val="0"/>
      <w:marBottom w:val="0"/>
      <w:divBdr>
        <w:top w:val="none" w:sz="0" w:space="0" w:color="auto"/>
        <w:left w:val="none" w:sz="0" w:space="0" w:color="auto"/>
        <w:bottom w:val="none" w:sz="0" w:space="0" w:color="auto"/>
        <w:right w:val="none" w:sz="0" w:space="0" w:color="auto"/>
      </w:divBdr>
    </w:div>
    <w:div w:id="1945644913">
      <w:bodyDiv w:val="1"/>
      <w:marLeft w:val="0"/>
      <w:marRight w:val="0"/>
      <w:marTop w:val="0"/>
      <w:marBottom w:val="0"/>
      <w:divBdr>
        <w:top w:val="none" w:sz="0" w:space="0" w:color="auto"/>
        <w:left w:val="none" w:sz="0" w:space="0" w:color="auto"/>
        <w:bottom w:val="none" w:sz="0" w:space="0" w:color="auto"/>
        <w:right w:val="none" w:sz="0" w:space="0" w:color="auto"/>
      </w:divBdr>
      <w:divsChild>
        <w:div w:id="848063992">
          <w:marLeft w:val="0"/>
          <w:marRight w:val="0"/>
          <w:marTop w:val="0"/>
          <w:marBottom w:val="0"/>
          <w:divBdr>
            <w:top w:val="none" w:sz="0" w:space="0" w:color="auto"/>
            <w:left w:val="none" w:sz="0" w:space="0" w:color="auto"/>
            <w:bottom w:val="none" w:sz="0" w:space="0" w:color="auto"/>
            <w:right w:val="none" w:sz="0" w:space="0" w:color="auto"/>
          </w:divBdr>
          <w:divsChild>
            <w:div w:id="2111929290">
              <w:marLeft w:val="0"/>
              <w:marRight w:val="0"/>
              <w:marTop w:val="0"/>
              <w:marBottom w:val="0"/>
              <w:divBdr>
                <w:top w:val="none" w:sz="0" w:space="0" w:color="auto"/>
                <w:left w:val="none" w:sz="0" w:space="0" w:color="auto"/>
                <w:bottom w:val="none" w:sz="0" w:space="0" w:color="auto"/>
                <w:right w:val="none" w:sz="0" w:space="0" w:color="auto"/>
              </w:divBdr>
              <w:divsChild>
                <w:div w:id="894396263">
                  <w:marLeft w:val="0"/>
                  <w:marRight w:val="0"/>
                  <w:marTop w:val="0"/>
                  <w:marBottom w:val="0"/>
                  <w:divBdr>
                    <w:top w:val="none" w:sz="0" w:space="0" w:color="auto"/>
                    <w:left w:val="none" w:sz="0" w:space="0" w:color="auto"/>
                    <w:bottom w:val="none" w:sz="0" w:space="0" w:color="auto"/>
                    <w:right w:val="none" w:sz="0" w:space="0" w:color="auto"/>
                  </w:divBdr>
                  <w:divsChild>
                    <w:div w:id="1916089035">
                      <w:marLeft w:val="0"/>
                      <w:marRight w:val="0"/>
                      <w:marTop w:val="0"/>
                      <w:marBottom w:val="0"/>
                      <w:divBdr>
                        <w:top w:val="none" w:sz="0" w:space="0" w:color="auto"/>
                        <w:left w:val="none" w:sz="0" w:space="0" w:color="auto"/>
                        <w:bottom w:val="none" w:sz="0" w:space="0" w:color="auto"/>
                        <w:right w:val="none" w:sz="0" w:space="0" w:color="auto"/>
                      </w:divBdr>
                      <w:divsChild>
                        <w:div w:id="1466390163">
                          <w:marLeft w:val="0"/>
                          <w:marRight w:val="0"/>
                          <w:marTop w:val="0"/>
                          <w:marBottom w:val="0"/>
                          <w:divBdr>
                            <w:top w:val="none" w:sz="0" w:space="0" w:color="auto"/>
                            <w:left w:val="none" w:sz="0" w:space="0" w:color="auto"/>
                            <w:bottom w:val="none" w:sz="0" w:space="0" w:color="auto"/>
                            <w:right w:val="none" w:sz="0" w:space="0" w:color="auto"/>
                          </w:divBdr>
                          <w:divsChild>
                            <w:div w:id="16503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00948">
      <w:bodyDiv w:val="1"/>
      <w:marLeft w:val="0"/>
      <w:marRight w:val="0"/>
      <w:marTop w:val="0"/>
      <w:marBottom w:val="0"/>
      <w:divBdr>
        <w:top w:val="none" w:sz="0" w:space="0" w:color="auto"/>
        <w:left w:val="none" w:sz="0" w:space="0" w:color="auto"/>
        <w:bottom w:val="none" w:sz="0" w:space="0" w:color="auto"/>
        <w:right w:val="none" w:sz="0" w:space="0" w:color="auto"/>
      </w:divBdr>
      <w:divsChild>
        <w:div w:id="122236968">
          <w:marLeft w:val="0"/>
          <w:marRight w:val="0"/>
          <w:marTop w:val="0"/>
          <w:marBottom w:val="0"/>
          <w:divBdr>
            <w:top w:val="none" w:sz="0" w:space="0" w:color="auto"/>
            <w:left w:val="none" w:sz="0" w:space="0" w:color="auto"/>
            <w:bottom w:val="none" w:sz="0" w:space="0" w:color="auto"/>
            <w:right w:val="none" w:sz="0" w:space="0" w:color="auto"/>
          </w:divBdr>
          <w:divsChild>
            <w:div w:id="1245452807">
              <w:marLeft w:val="0"/>
              <w:marRight w:val="0"/>
              <w:marTop w:val="0"/>
              <w:marBottom w:val="0"/>
              <w:divBdr>
                <w:top w:val="none" w:sz="0" w:space="0" w:color="auto"/>
                <w:left w:val="none" w:sz="0" w:space="0" w:color="auto"/>
                <w:bottom w:val="none" w:sz="0" w:space="0" w:color="auto"/>
                <w:right w:val="none" w:sz="0" w:space="0" w:color="auto"/>
              </w:divBdr>
              <w:divsChild>
                <w:div w:id="861020171">
                  <w:marLeft w:val="0"/>
                  <w:marRight w:val="0"/>
                  <w:marTop w:val="0"/>
                  <w:marBottom w:val="0"/>
                  <w:divBdr>
                    <w:top w:val="none" w:sz="0" w:space="0" w:color="auto"/>
                    <w:left w:val="none" w:sz="0" w:space="0" w:color="auto"/>
                    <w:bottom w:val="none" w:sz="0" w:space="0" w:color="auto"/>
                    <w:right w:val="none" w:sz="0" w:space="0" w:color="auto"/>
                  </w:divBdr>
                  <w:divsChild>
                    <w:div w:id="1710254526">
                      <w:marLeft w:val="0"/>
                      <w:marRight w:val="0"/>
                      <w:marTop w:val="0"/>
                      <w:marBottom w:val="0"/>
                      <w:divBdr>
                        <w:top w:val="none" w:sz="0" w:space="0" w:color="auto"/>
                        <w:left w:val="none" w:sz="0" w:space="0" w:color="auto"/>
                        <w:bottom w:val="none" w:sz="0" w:space="0" w:color="auto"/>
                        <w:right w:val="none" w:sz="0" w:space="0" w:color="auto"/>
                      </w:divBdr>
                      <w:divsChild>
                        <w:div w:id="1259364038">
                          <w:marLeft w:val="0"/>
                          <w:marRight w:val="0"/>
                          <w:marTop w:val="0"/>
                          <w:marBottom w:val="0"/>
                          <w:divBdr>
                            <w:top w:val="none" w:sz="0" w:space="0" w:color="auto"/>
                            <w:left w:val="none" w:sz="0" w:space="0" w:color="auto"/>
                            <w:bottom w:val="none" w:sz="0" w:space="0" w:color="auto"/>
                            <w:right w:val="none" w:sz="0" w:space="0" w:color="auto"/>
                          </w:divBdr>
                          <w:divsChild>
                            <w:div w:id="16389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38926">
      <w:bodyDiv w:val="1"/>
      <w:marLeft w:val="0"/>
      <w:marRight w:val="0"/>
      <w:marTop w:val="0"/>
      <w:marBottom w:val="0"/>
      <w:divBdr>
        <w:top w:val="none" w:sz="0" w:space="0" w:color="auto"/>
        <w:left w:val="none" w:sz="0" w:space="0" w:color="auto"/>
        <w:bottom w:val="none" w:sz="0" w:space="0" w:color="auto"/>
        <w:right w:val="none" w:sz="0" w:space="0" w:color="auto"/>
      </w:divBdr>
      <w:divsChild>
        <w:div w:id="1539859176">
          <w:marLeft w:val="0"/>
          <w:marRight w:val="0"/>
          <w:marTop w:val="0"/>
          <w:marBottom w:val="0"/>
          <w:divBdr>
            <w:top w:val="none" w:sz="0" w:space="0" w:color="auto"/>
            <w:left w:val="none" w:sz="0" w:space="0" w:color="auto"/>
            <w:bottom w:val="none" w:sz="0" w:space="0" w:color="auto"/>
            <w:right w:val="none" w:sz="0" w:space="0" w:color="auto"/>
          </w:divBdr>
          <w:divsChild>
            <w:div w:id="1990016397">
              <w:marLeft w:val="0"/>
              <w:marRight w:val="0"/>
              <w:marTop w:val="0"/>
              <w:marBottom w:val="0"/>
              <w:divBdr>
                <w:top w:val="none" w:sz="0" w:space="0" w:color="auto"/>
                <w:left w:val="none" w:sz="0" w:space="0" w:color="auto"/>
                <w:bottom w:val="none" w:sz="0" w:space="0" w:color="auto"/>
                <w:right w:val="none" w:sz="0" w:space="0" w:color="auto"/>
              </w:divBdr>
              <w:divsChild>
                <w:div w:id="254410862">
                  <w:marLeft w:val="0"/>
                  <w:marRight w:val="0"/>
                  <w:marTop w:val="0"/>
                  <w:marBottom w:val="0"/>
                  <w:divBdr>
                    <w:top w:val="none" w:sz="0" w:space="0" w:color="auto"/>
                    <w:left w:val="none" w:sz="0" w:space="0" w:color="auto"/>
                    <w:bottom w:val="none" w:sz="0" w:space="0" w:color="auto"/>
                    <w:right w:val="none" w:sz="0" w:space="0" w:color="auto"/>
                  </w:divBdr>
                  <w:divsChild>
                    <w:div w:id="429086493">
                      <w:marLeft w:val="0"/>
                      <w:marRight w:val="0"/>
                      <w:marTop w:val="0"/>
                      <w:marBottom w:val="0"/>
                      <w:divBdr>
                        <w:top w:val="none" w:sz="0" w:space="0" w:color="auto"/>
                        <w:left w:val="none" w:sz="0" w:space="0" w:color="auto"/>
                        <w:bottom w:val="none" w:sz="0" w:space="0" w:color="auto"/>
                        <w:right w:val="none" w:sz="0" w:space="0" w:color="auto"/>
                      </w:divBdr>
                      <w:divsChild>
                        <w:div w:id="874125878">
                          <w:marLeft w:val="0"/>
                          <w:marRight w:val="0"/>
                          <w:marTop w:val="0"/>
                          <w:marBottom w:val="0"/>
                          <w:divBdr>
                            <w:top w:val="none" w:sz="0" w:space="0" w:color="auto"/>
                            <w:left w:val="none" w:sz="0" w:space="0" w:color="auto"/>
                            <w:bottom w:val="none" w:sz="0" w:space="0" w:color="auto"/>
                            <w:right w:val="none" w:sz="0" w:space="0" w:color="auto"/>
                          </w:divBdr>
                          <w:divsChild>
                            <w:div w:id="21168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hudoc.echr.coe.int/e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e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FC1D-6BC9-4CE9-9036-D13C12471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B1F575-31CD-458C-9696-44426E4039F8}">
  <ds:schemaRefs>
    <ds:schemaRef ds:uri="http://schemas.microsoft.com/sharepoint/v3/contenttype/forms"/>
  </ds:schemaRefs>
</ds:datastoreItem>
</file>

<file path=customXml/itemProps3.xml><?xml version="1.0" encoding="utf-8"?>
<ds:datastoreItem xmlns:ds="http://schemas.openxmlformats.org/officeDocument/2006/customXml" ds:itemID="{E4E833A0-893C-44C2-A4E4-11605F0312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BB95AD-8B9D-40A2-8521-AF9A3570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8079</Words>
  <Characters>46054</Characters>
  <Application>Microsoft Office Word</Application>
  <DocSecurity>0</DocSecurity>
  <Lines>383</Lines>
  <Paragraphs>108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2016-10-13T16:31:00Z</dcterms:created>
  <dcterms:modified xsi:type="dcterms:W3CDTF">2016-10-13T16:31:00Z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